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Default Extension="png" ContentType="image/png"/>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xmlns:wps="http://schemas.microsoft.com/office/word/2010/wordprocessingShape">
  <w:body>
    <w:bookmarkStart w:id="0" w:name="page1"/>
    <w:bookmarkEnd w:id="0"/>
    <w:p>
      <w:pPr>
        <w:jc w:val="center"/>
        <w:ind w:left="20"/>
        <w:spacing w:after="0"/>
        <w:rPr>
          <w:sz w:val="20"/>
          <w:szCs w:val="20"/>
          <w:color w:val="auto"/>
        </w:rPr>
      </w:pPr>
      <w:r>
        <w:rPr>
          <w:rFonts w:ascii="Arial Narrow" w:cs="Arial Narrow" w:eastAsia="Arial Narrow" w:hAnsi="Arial Narrow"/>
          <w:sz w:val="20"/>
          <w:szCs w:val="20"/>
          <w:b w:val="1"/>
          <w:bCs w:val="1"/>
          <w:color w:val="3366FF"/>
        </w:rPr>
        <w:drawing>
          <wp:anchor simplePos="0" relativeHeight="251657728" behindDoc="1" locked="0" layoutInCell="0" allowOverlap="1">
            <wp:simplePos x="0" y="0"/>
            <wp:positionH relativeFrom="page">
              <wp:posOffset>390525</wp:posOffset>
            </wp:positionH>
            <wp:positionV relativeFrom="page">
              <wp:posOffset>122555</wp:posOffset>
            </wp:positionV>
            <wp:extent cx="1524000" cy="3994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clrChange>
                        <a:clrFrom>
                          <a:srgbClr val="FFFFFF"/>
                        </a:clrFrom>
                        <a:clrTo>
                          <a:srgbClr val="FFFFFF">
                            <a:alpha val="0"/>
                          </a:srgbClr>
                        </a:clrTo>
                      </a:clrChange>
                      <a:extLst>
                        <a:ext uri="{28A0092B-C50C-407E-A947-70E740481C1C}"/>
                      </a:extLst>
                    </a:blip>
                    <a:srcRect/>
                    <a:stretch>
                      <a:fillRect/>
                    </a:stretch>
                  </pic:blipFill>
                  <pic:spPr bwMode="auto">
                    <a:xfrm>
                      <a:off x="0" y="0"/>
                      <a:ext cx="1524000" cy="399415"/>
                    </a:xfrm>
                    <a:prstGeom prst="rect">
                      <a:avLst/>
                    </a:prstGeom>
                    <a:noFill/>
                  </pic:spPr>
                </pic:pic>
              </a:graphicData>
            </a:graphic>
          </wp:anchor>
        </w:drawing>
        <w:t>Member Organizations</w:t>
      </w:r>
    </w:p>
    <w:p>
      <w:pPr>
        <w:spacing w:after="0" w:line="252" w:lineRule="exact"/>
        <w:rPr>
          <w:sz w:val="24"/>
          <w:szCs w:val="24"/>
          <w:color w:val="auto"/>
        </w:rPr>
      </w:pPr>
    </w:p>
    <w:p>
      <w:pPr>
        <w:spacing w:after="0" w:line="274" w:lineRule="auto"/>
        <w:rPr>
          <w:sz w:val="20"/>
          <w:szCs w:val="20"/>
          <w:color w:val="auto"/>
        </w:rPr>
      </w:pPr>
      <w:r>
        <w:rPr>
          <w:rFonts w:ascii="Arial Narrow" w:cs="Arial Narrow" w:eastAsia="Arial Narrow" w:hAnsi="Arial Narrow"/>
          <w:sz w:val="18"/>
          <w:szCs w:val="18"/>
          <w:color w:val="3366FF"/>
        </w:rPr>
        <w:t>Alamo, Austin, and Lone Star chapters of the Sierra Club</w:t>
      </w:r>
    </w:p>
    <w:p>
      <w:pPr>
        <w:spacing w:after="0" w:line="1" w:lineRule="exact"/>
        <w:rPr>
          <w:sz w:val="24"/>
          <w:szCs w:val="24"/>
          <w:color w:val="auto"/>
        </w:rPr>
      </w:pPr>
    </w:p>
    <w:p>
      <w:pPr>
        <w:spacing w:after="0"/>
        <w:rPr>
          <w:sz w:val="20"/>
          <w:szCs w:val="20"/>
          <w:color w:val="auto"/>
        </w:rPr>
      </w:pPr>
      <w:r>
        <w:rPr>
          <w:rFonts w:ascii="Arial Narrow" w:cs="Arial Narrow" w:eastAsia="Arial Narrow" w:hAnsi="Arial Narrow"/>
          <w:sz w:val="18"/>
          <w:szCs w:val="18"/>
          <w:color w:val="3366FF"/>
        </w:rPr>
        <w:t>Bexar Audubon Society</w:t>
      </w:r>
    </w:p>
    <w:p>
      <w:pPr>
        <w:spacing w:after="0" w:line="60" w:lineRule="exact"/>
        <w:rPr>
          <w:sz w:val="24"/>
          <w:szCs w:val="24"/>
          <w:color w:val="auto"/>
        </w:rPr>
      </w:pPr>
    </w:p>
    <w:p>
      <w:pPr>
        <w:spacing w:after="0"/>
        <w:rPr>
          <w:sz w:val="20"/>
          <w:szCs w:val="20"/>
          <w:color w:val="auto"/>
        </w:rPr>
      </w:pPr>
      <w:r>
        <w:rPr>
          <w:rFonts w:ascii="Arial Narrow" w:cs="Arial Narrow" w:eastAsia="Arial Narrow" w:hAnsi="Arial Narrow"/>
          <w:sz w:val="18"/>
          <w:szCs w:val="18"/>
          <w:color w:val="3366FF"/>
        </w:rPr>
        <w:t>Bexar Green Party</w:t>
      </w:r>
    </w:p>
    <w:p>
      <w:pPr>
        <w:spacing w:after="0" w:line="60" w:lineRule="exact"/>
        <w:rPr>
          <w:sz w:val="24"/>
          <w:szCs w:val="24"/>
          <w:color w:val="auto"/>
        </w:rPr>
      </w:pPr>
    </w:p>
    <w:p>
      <w:pPr>
        <w:spacing w:after="0"/>
        <w:rPr>
          <w:sz w:val="20"/>
          <w:szCs w:val="20"/>
          <w:color w:val="auto"/>
        </w:rPr>
      </w:pPr>
      <w:r>
        <w:rPr>
          <w:rFonts w:ascii="Arial Narrow" w:cs="Arial Narrow" w:eastAsia="Arial Narrow" w:hAnsi="Arial Narrow"/>
          <w:sz w:val="18"/>
          <w:szCs w:val="18"/>
          <w:color w:val="3366FF"/>
        </w:rPr>
        <w:t>Boerne Together</w:t>
      </w:r>
    </w:p>
    <w:p>
      <w:pPr>
        <w:spacing w:after="0" w:line="60" w:lineRule="exact"/>
        <w:rPr>
          <w:sz w:val="24"/>
          <w:szCs w:val="24"/>
          <w:color w:val="auto"/>
        </w:rPr>
      </w:pPr>
    </w:p>
    <w:p>
      <w:pPr>
        <w:ind w:right="580"/>
        <w:spacing w:after="0" w:line="309" w:lineRule="auto"/>
        <w:rPr>
          <w:sz w:val="20"/>
          <w:szCs w:val="20"/>
          <w:color w:val="auto"/>
        </w:rPr>
      </w:pPr>
      <w:r>
        <w:rPr>
          <w:rFonts w:ascii="Arial Narrow" w:cs="Arial Narrow" w:eastAsia="Arial Narrow" w:hAnsi="Arial Narrow"/>
          <w:sz w:val="18"/>
          <w:szCs w:val="18"/>
          <w:color w:val="3366FF"/>
        </w:rPr>
        <w:t>Bulverde Neighborhood Alliance Cibolo Nature Center</w:t>
      </w:r>
    </w:p>
    <w:p>
      <w:pPr>
        <w:spacing w:after="0" w:line="1" w:lineRule="exact"/>
        <w:rPr>
          <w:sz w:val="24"/>
          <w:szCs w:val="24"/>
          <w:color w:val="auto"/>
        </w:rPr>
      </w:pPr>
    </w:p>
    <w:p>
      <w:pPr>
        <w:spacing w:after="0" w:line="310" w:lineRule="auto"/>
        <w:rPr>
          <w:sz w:val="20"/>
          <w:szCs w:val="20"/>
          <w:color w:val="auto"/>
        </w:rPr>
      </w:pPr>
      <w:r>
        <w:rPr>
          <w:rFonts w:ascii="Arial Narrow" w:cs="Arial Narrow" w:eastAsia="Arial Narrow" w:hAnsi="Arial Narrow"/>
          <w:sz w:val="18"/>
          <w:szCs w:val="18"/>
          <w:color w:val="3366FF"/>
        </w:rPr>
        <w:t xml:space="preserve">Citizens Allied for Smart Expansion Citizens </w:t>
      </w:r>
      <w:r>
        <w:rPr>
          <w:rFonts w:ascii="Arial Narrow" w:cs="Arial Narrow" w:eastAsia="Arial Narrow" w:hAnsi="Arial Narrow"/>
          <w:sz w:val="16"/>
          <w:szCs w:val="16"/>
          <w:color w:val="3366FF"/>
        </w:rPr>
        <w:t>for the</w:t>
      </w:r>
      <w:r>
        <w:rPr>
          <w:rFonts w:ascii="Arial Narrow" w:cs="Arial Narrow" w:eastAsia="Arial Narrow" w:hAnsi="Arial Narrow"/>
          <w:sz w:val="18"/>
          <w:szCs w:val="18"/>
          <w:color w:val="3366FF"/>
        </w:rPr>
        <w:t xml:space="preserve"> Protection of Cibolo Creek Comal County Conservation Alliance Environment Texas</w:t>
      </w:r>
    </w:p>
    <w:p>
      <w:pPr>
        <w:spacing w:after="0" w:line="1" w:lineRule="exact"/>
        <w:rPr>
          <w:sz w:val="24"/>
          <w:szCs w:val="24"/>
          <w:color w:val="auto"/>
        </w:rPr>
      </w:pPr>
    </w:p>
    <w:p>
      <w:pPr>
        <w:ind w:right="300"/>
        <w:spacing w:after="0" w:line="274" w:lineRule="auto"/>
        <w:rPr>
          <w:sz w:val="20"/>
          <w:szCs w:val="20"/>
          <w:color w:val="auto"/>
        </w:rPr>
      </w:pPr>
      <w:r>
        <w:rPr>
          <w:rFonts w:ascii="Arial Narrow" w:cs="Arial Narrow" w:eastAsia="Arial Narrow" w:hAnsi="Arial Narrow"/>
          <w:sz w:val="18"/>
          <w:szCs w:val="18"/>
          <w:color w:val="3366FF"/>
        </w:rPr>
        <w:t>First Universalist Unitarian Church of San Antonio</w:t>
      </w:r>
    </w:p>
    <w:p>
      <w:pPr>
        <w:spacing w:after="0" w:line="1" w:lineRule="exact"/>
        <w:rPr>
          <w:sz w:val="24"/>
          <w:szCs w:val="24"/>
          <w:color w:val="auto"/>
        </w:rPr>
      </w:pPr>
    </w:p>
    <w:p>
      <w:pPr>
        <w:ind w:right="640"/>
        <w:spacing w:after="0" w:line="309" w:lineRule="auto"/>
        <w:rPr>
          <w:sz w:val="20"/>
          <w:szCs w:val="20"/>
          <w:color w:val="auto"/>
        </w:rPr>
      </w:pPr>
      <w:r>
        <w:rPr>
          <w:rFonts w:ascii="Arial Narrow" w:cs="Arial Narrow" w:eastAsia="Arial Narrow" w:hAnsi="Arial Narrow"/>
          <w:sz w:val="18"/>
          <w:szCs w:val="18"/>
          <w:color w:val="3366FF"/>
        </w:rPr>
        <w:t>Friends of Canyon Lake Friends of Dry Comal Creek Friends of Government Canyon Fuerza Unida</w:t>
      </w:r>
    </w:p>
    <w:p>
      <w:pPr>
        <w:spacing w:after="0" w:line="2" w:lineRule="exact"/>
        <w:rPr>
          <w:sz w:val="24"/>
          <w:szCs w:val="24"/>
          <w:color w:val="auto"/>
        </w:rPr>
      </w:pPr>
    </w:p>
    <w:p>
      <w:pPr>
        <w:ind w:right="520"/>
        <w:spacing w:after="0" w:line="309" w:lineRule="auto"/>
        <w:rPr>
          <w:sz w:val="20"/>
          <w:szCs w:val="20"/>
          <w:color w:val="auto"/>
        </w:rPr>
      </w:pPr>
      <w:r>
        <w:rPr>
          <w:rFonts w:ascii="Arial Narrow" w:cs="Arial Narrow" w:eastAsia="Arial Narrow" w:hAnsi="Arial Narrow"/>
          <w:sz w:val="18"/>
          <w:szCs w:val="18"/>
          <w:color w:val="3366FF"/>
        </w:rPr>
        <w:t>Green Party of Austin Green Society of UTSA Guadalupe River Road Alliance Guardians of Lick Creek Headwaters at Incarnate Word Helotes Heritage Association Hill Country Planning Association</w:t>
      </w:r>
    </w:p>
    <w:p>
      <w:pPr>
        <w:spacing w:after="0" w:line="3" w:lineRule="exact"/>
        <w:rPr>
          <w:sz w:val="24"/>
          <w:szCs w:val="24"/>
          <w:color w:val="auto"/>
        </w:rPr>
      </w:pPr>
    </w:p>
    <w:p>
      <w:pPr>
        <w:ind w:right="20"/>
        <w:spacing w:after="0" w:line="310" w:lineRule="auto"/>
        <w:rPr>
          <w:sz w:val="20"/>
          <w:szCs w:val="20"/>
          <w:color w:val="auto"/>
        </w:rPr>
      </w:pPr>
      <w:r>
        <w:rPr>
          <w:rFonts w:ascii="Arial Narrow" w:cs="Arial Narrow" w:eastAsia="Arial Narrow" w:hAnsi="Arial Narrow"/>
          <w:sz w:val="18"/>
          <w:szCs w:val="18"/>
          <w:color w:val="3366FF"/>
        </w:rPr>
        <w:t>Kendall County Well Owners Association Kinney County Ground Zero</w:t>
      </w:r>
    </w:p>
    <w:p>
      <w:pPr>
        <w:spacing w:after="0" w:line="2" w:lineRule="exact"/>
        <w:rPr>
          <w:sz w:val="24"/>
          <w:szCs w:val="24"/>
          <w:color w:val="auto"/>
        </w:rPr>
      </w:pPr>
    </w:p>
    <w:p>
      <w:pPr>
        <w:ind w:right="280"/>
        <w:spacing w:after="0" w:line="327" w:lineRule="auto"/>
        <w:rPr>
          <w:sz w:val="20"/>
          <w:szCs w:val="20"/>
          <w:color w:val="auto"/>
        </w:rPr>
      </w:pPr>
      <w:r>
        <w:rPr>
          <w:rFonts w:ascii="Arial Narrow" w:cs="Arial Narrow" w:eastAsia="Arial Narrow" w:hAnsi="Arial Narrow"/>
          <w:sz w:val="17"/>
          <w:szCs w:val="17"/>
          <w:color w:val="3366FF"/>
        </w:rPr>
        <w:t>Leon Springs Business Association Medina County Environmental Action Native Plant Society of Texas – SA</w:t>
      </w:r>
    </w:p>
    <w:p>
      <w:pPr>
        <w:spacing w:after="0" w:line="2" w:lineRule="exact"/>
        <w:rPr>
          <w:sz w:val="24"/>
          <w:szCs w:val="24"/>
          <w:color w:val="auto"/>
        </w:rPr>
      </w:pPr>
    </w:p>
    <w:p>
      <w:pPr>
        <w:ind w:right="600"/>
        <w:spacing w:after="0" w:line="274" w:lineRule="auto"/>
        <w:rPr>
          <w:sz w:val="20"/>
          <w:szCs w:val="20"/>
          <w:color w:val="auto"/>
        </w:rPr>
      </w:pPr>
      <w:r>
        <w:rPr>
          <w:rFonts w:ascii="Arial Narrow" w:cs="Arial Narrow" w:eastAsia="Arial Narrow" w:hAnsi="Arial Narrow"/>
          <w:sz w:val="18"/>
          <w:szCs w:val="18"/>
          <w:color w:val="3366FF"/>
        </w:rPr>
        <w:t>Northwest Interstate Coalition of Neighborhoods</w:t>
      </w:r>
    </w:p>
    <w:p>
      <w:pPr>
        <w:spacing w:after="0" w:line="1" w:lineRule="exact"/>
        <w:rPr>
          <w:sz w:val="24"/>
          <w:szCs w:val="24"/>
          <w:color w:val="auto"/>
        </w:rPr>
      </w:pPr>
    </w:p>
    <w:p>
      <w:pPr>
        <w:spacing w:after="0"/>
        <w:rPr>
          <w:sz w:val="20"/>
          <w:szCs w:val="20"/>
          <w:color w:val="auto"/>
        </w:rPr>
      </w:pPr>
      <w:r>
        <w:rPr>
          <w:rFonts w:ascii="Arial Narrow" w:cs="Arial Narrow" w:eastAsia="Arial Narrow" w:hAnsi="Arial Narrow"/>
          <w:sz w:val="18"/>
          <w:szCs w:val="18"/>
          <w:color w:val="3366FF"/>
        </w:rPr>
        <w:t>Preserve Castroville</w:t>
      </w:r>
    </w:p>
    <w:p>
      <w:pPr>
        <w:spacing w:after="0" w:line="60" w:lineRule="exact"/>
        <w:rPr>
          <w:sz w:val="24"/>
          <w:szCs w:val="24"/>
          <w:color w:val="auto"/>
        </w:rPr>
      </w:pPr>
    </w:p>
    <w:p>
      <w:pPr>
        <w:spacing w:after="0"/>
        <w:rPr>
          <w:sz w:val="20"/>
          <w:szCs w:val="20"/>
          <w:color w:val="auto"/>
        </w:rPr>
      </w:pPr>
      <w:r>
        <w:rPr>
          <w:rFonts w:ascii="Arial Narrow" w:cs="Arial Narrow" w:eastAsia="Arial Narrow" w:hAnsi="Arial Narrow"/>
          <w:sz w:val="18"/>
          <w:szCs w:val="18"/>
          <w:color w:val="3366FF"/>
        </w:rPr>
        <w:t>Preserve Lake Dunlap Association</w:t>
      </w:r>
    </w:p>
    <w:p>
      <w:pPr>
        <w:spacing w:after="0" w:line="60" w:lineRule="exact"/>
        <w:rPr>
          <w:sz w:val="24"/>
          <w:szCs w:val="24"/>
          <w:color w:val="auto"/>
        </w:rPr>
      </w:pPr>
    </w:p>
    <w:p>
      <w:pPr>
        <w:spacing w:after="0"/>
        <w:rPr>
          <w:sz w:val="20"/>
          <w:szCs w:val="20"/>
          <w:color w:val="auto"/>
        </w:rPr>
      </w:pPr>
      <w:r>
        <w:rPr>
          <w:rFonts w:ascii="Arial Narrow" w:cs="Arial Narrow" w:eastAsia="Arial Narrow" w:hAnsi="Arial Narrow"/>
          <w:sz w:val="18"/>
          <w:szCs w:val="18"/>
          <w:color w:val="3366FF"/>
        </w:rPr>
        <w:t>San Antonio Audubon Society</w:t>
      </w:r>
    </w:p>
    <w:p>
      <w:pPr>
        <w:spacing w:after="0" w:line="60" w:lineRule="exact"/>
        <w:rPr>
          <w:sz w:val="24"/>
          <w:szCs w:val="24"/>
          <w:color w:val="auto"/>
        </w:rPr>
      </w:pPr>
    </w:p>
    <w:p>
      <w:pPr>
        <w:spacing w:after="0"/>
        <w:rPr>
          <w:sz w:val="20"/>
          <w:szCs w:val="20"/>
          <w:color w:val="auto"/>
        </w:rPr>
      </w:pPr>
      <w:r>
        <w:rPr>
          <w:rFonts w:ascii="Arial Narrow" w:cs="Arial Narrow" w:eastAsia="Arial Narrow" w:hAnsi="Arial Narrow"/>
          <w:sz w:val="18"/>
          <w:szCs w:val="18"/>
          <w:color w:val="3366FF"/>
        </w:rPr>
        <w:t>San Antonio Conservation Society</w:t>
      </w:r>
    </w:p>
    <w:p>
      <w:pPr>
        <w:spacing w:after="0" w:line="60" w:lineRule="exact"/>
        <w:rPr>
          <w:sz w:val="24"/>
          <w:szCs w:val="24"/>
          <w:color w:val="auto"/>
        </w:rPr>
      </w:pPr>
    </w:p>
    <w:p>
      <w:pPr>
        <w:spacing w:after="0"/>
        <w:rPr>
          <w:sz w:val="20"/>
          <w:szCs w:val="20"/>
          <w:color w:val="auto"/>
        </w:rPr>
      </w:pPr>
      <w:r>
        <w:rPr>
          <w:rFonts w:ascii="Arial Narrow" w:cs="Arial Narrow" w:eastAsia="Arial Narrow" w:hAnsi="Arial Narrow"/>
          <w:sz w:val="18"/>
          <w:szCs w:val="18"/>
          <w:color w:val="3366FF"/>
        </w:rPr>
        <w:t>San Geronimo Valley Alliance</w:t>
      </w:r>
    </w:p>
    <w:p>
      <w:pPr>
        <w:spacing w:after="0" w:line="60" w:lineRule="exact"/>
        <w:rPr>
          <w:sz w:val="24"/>
          <w:szCs w:val="24"/>
          <w:color w:val="auto"/>
        </w:rPr>
      </w:pPr>
    </w:p>
    <w:p>
      <w:pPr>
        <w:spacing w:after="0"/>
        <w:rPr>
          <w:sz w:val="20"/>
          <w:szCs w:val="20"/>
          <w:color w:val="auto"/>
        </w:rPr>
      </w:pPr>
      <w:r>
        <w:rPr>
          <w:rFonts w:ascii="Arial Narrow" w:cs="Arial Narrow" w:eastAsia="Arial Narrow" w:hAnsi="Arial Narrow"/>
          <w:sz w:val="18"/>
          <w:szCs w:val="18"/>
          <w:color w:val="3366FF"/>
        </w:rPr>
        <w:t>San Marcos Greenbelt Alliance</w:t>
      </w:r>
    </w:p>
    <w:p>
      <w:pPr>
        <w:spacing w:after="0" w:line="60" w:lineRule="exact"/>
        <w:rPr>
          <w:sz w:val="24"/>
          <w:szCs w:val="24"/>
          <w:color w:val="auto"/>
        </w:rPr>
      </w:pPr>
    </w:p>
    <w:p>
      <w:pPr>
        <w:spacing w:after="0"/>
        <w:rPr>
          <w:sz w:val="20"/>
          <w:szCs w:val="20"/>
          <w:color w:val="auto"/>
        </w:rPr>
      </w:pPr>
      <w:r>
        <w:rPr>
          <w:rFonts w:ascii="Arial Narrow" w:cs="Arial Narrow" w:eastAsia="Arial Narrow" w:hAnsi="Arial Narrow"/>
          <w:sz w:val="18"/>
          <w:szCs w:val="18"/>
          <w:color w:val="3366FF"/>
        </w:rPr>
        <w:t>San Marcos River Foundation</w:t>
      </w:r>
    </w:p>
    <w:p>
      <w:pPr>
        <w:spacing w:after="0" w:line="60" w:lineRule="exact"/>
        <w:rPr>
          <w:sz w:val="24"/>
          <w:szCs w:val="24"/>
          <w:color w:val="auto"/>
        </w:rPr>
      </w:pPr>
    </w:p>
    <w:p>
      <w:pPr>
        <w:spacing w:after="0"/>
        <w:rPr>
          <w:sz w:val="20"/>
          <w:szCs w:val="20"/>
          <w:color w:val="auto"/>
        </w:rPr>
      </w:pPr>
      <w:r>
        <w:rPr>
          <w:rFonts w:ascii="Arial Narrow" w:cs="Arial Narrow" w:eastAsia="Arial Narrow" w:hAnsi="Arial Narrow"/>
          <w:sz w:val="18"/>
          <w:szCs w:val="18"/>
          <w:color w:val="3366FF"/>
        </w:rPr>
        <w:t>Save Barton Creek Association</w:t>
      </w:r>
    </w:p>
    <w:p>
      <w:pPr>
        <w:spacing w:after="0" w:line="60" w:lineRule="exact"/>
        <w:rPr>
          <w:sz w:val="24"/>
          <w:szCs w:val="24"/>
          <w:color w:val="auto"/>
        </w:rPr>
      </w:pPr>
    </w:p>
    <w:p>
      <w:pPr>
        <w:spacing w:after="0"/>
        <w:rPr>
          <w:sz w:val="20"/>
          <w:szCs w:val="20"/>
          <w:color w:val="auto"/>
        </w:rPr>
      </w:pPr>
      <w:r>
        <w:rPr>
          <w:rFonts w:ascii="Arial Narrow" w:cs="Arial Narrow" w:eastAsia="Arial Narrow" w:hAnsi="Arial Narrow"/>
          <w:sz w:val="18"/>
          <w:szCs w:val="18"/>
          <w:color w:val="3366FF"/>
        </w:rPr>
        <w:t>Save Our Springs Alliance</w:t>
      </w:r>
    </w:p>
    <w:p>
      <w:pPr>
        <w:spacing w:after="0" w:line="60" w:lineRule="exact"/>
        <w:rPr>
          <w:sz w:val="24"/>
          <w:szCs w:val="24"/>
          <w:color w:val="auto"/>
        </w:rPr>
      </w:pPr>
    </w:p>
    <w:p>
      <w:pPr>
        <w:spacing w:after="0"/>
        <w:rPr>
          <w:sz w:val="20"/>
          <w:szCs w:val="20"/>
          <w:color w:val="auto"/>
        </w:rPr>
      </w:pPr>
      <w:r>
        <w:rPr>
          <w:rFonts w:ascii="Arial Narrow" w:cs="Arial Narrow" w:eastAsia="Arial Narrow" w:hAnsi="Arial Narrow"/>
          <w:sz w:val="18"/>
          <w:szCs w:val="18"/>
          <w:color w:val="3366FF"/>
        </w:rPr>
        <w:t>Scenic Loop/Boerne Stage Alliance</w:t>
      </w:r>
    </w:p>
    <w:p>
      <w:pPr>
        <w:spacing w:after="0" w:line="60" w:lineRule="exact"/>
        <w:rPr>
          <w:sz w:val="24"/>
          <w:szCs w:val="24"/>
          <w:color w:val="auto"/>
        </w:rPr>
      </w:pPr>
    </w:p>
    <w:p>
      <w:pPr>
        <w:spacing w:after="0"/>
        <w:rPr>
          <w:sz w:val="20"/>
          <w:szCs w:val="20"/>
          <w:color w:val="auto"/>
        </w:rPr>
      </w:pPr>
      <w:r>
        <w:rPr>
          <w:rFonts w:ascii="Arial Narrow" w:cs="Arial Narrow" w:eastAsia="Arial Narrow" w:hAnsi="Arial Narrow"/>
          <w:sz w:val="18"/>
          <w:szCs w:val="18"/>
          <w:color w:val="3366FF"/>
        </w:rPr>
        <w:t>Securing a Future Environment</w:t>
      </w:r>
    </w:p>
    <w:p>
      <w:pPr>
        <w:spacing w:after="0" w:line="62" w:lineRule="exact"/>
        <w:rPr>
          <w:sz w:val="24"/>
          <w:szCs w:val="24"/>
          <w:color w:val="auto"/>
        </w:rPr>
      </w:pPr>
    </w:p>
    <w:p>
      <w:pPr>
        <w:spacing w:after="0"/>
        <w:rPr>
          <w:sz w:val="20"/>
          <w:szCs w:val="20"/>
          <w:color w:val="auto"/>
        </w:rPr>
      </w:pPr>
      <w:r>
        <w:rPr>
          <w:rFonts w:ascii="Arial Narrow" w:cs="Arial Narrow" w:eastAsia="Arial Narrow" w:hAnsi="Arial Narrow"/>
          <w:sz w:val="18"/>
          <w:szCs w:val="18"/>
          <w:color w:val="3366FF"/>
        </w:rPr>
        <w:t>SEED Coalition</w:t>
      </w:r>
    </w:p>
    <w:p>
      <w:pPr>
        <w:spacing w:after="0" w:line="60" w:lineRule="exact"/>
        <w:rPr>
          <w:sz w:val="24"/>
          <w:szCs w:val="24"/>
          <w:color w:val="auto"/>
        </w:rPr>
      </w:pPr>
    </w:p>
    <w:p>
      <w:pPr>
        <w:spacing w:after="0"/>
        <w:rPr>
          <w:sz w:val="20"/>
          <w:szCs w:val="20"/>
          <w:color w:val="auto"/>
        </w:rPr>
      </w:pPr>
      <w:r>
        <w:rPr>
          <w:rFonts w:ascii="Arial Narrow" w:cs="Arial Narrow" w:eastAsia="Arial Narrow" w:hAnsi="Arial Narrow"/>
          <w:sz w:val="18"/>
          <w:szCs w:val="18"/>
          <w:color w:val="3366FF"/>
        </w:rPr>
        <w:t>Solar San Antonio</w:t>
      </w:r>
    </w:p>
    <w:p>
      <w:pPr>
        <w:spacing w:after="0" w:line="60" w:lineRule="exact"/>
        <w:rPr>
          <w:sz w:val="24"/>
          <w:szCs w:val="24"/>
          <w:color w:val="auto"/>
        </w:rPr>
      </w:pPr>
    </w:p>
    <w:p>
      <w:pPr>
        <w:spacing w:after="0"/>
        <w:rPr>
          <w:sz w:val="20"/>
          <w:szCs w:val="20"/>
          <w:color w:val="auto"/>
        </w:rPr>
      </w:pPr>
      <w:r>
        <w:rPr>
          <w:rFonts w:ascii="Arial Narrow" w:cs="Arial Narrow" w:eastAsia="Arial Narrow" w:hAnsi="Arial Narrow"/>
          <w:sz w:val="18"/>
          <w:szCs w:val="18"/>
          <w:color w:val="3366FF"/>
        </w:rPr>
        <w:t>Sisters of the Divine Providence</w:t>
      </w:r>
    </w:p>
    <w:p>
      <w:pPr>
        <w:spacing w:after="0" w:line="60" w:lineRule="exact"/>
        <w:rPr>
          <w:sz w:val="24"/>
          <w:szCs w:val="24"/>
          <w:color w:val="auto"/>
        </w:rPr>
      </w:pPr>
    </w:p>
    <w:p>
      <w:pPr>
        <w:spacing w:after="0"/>
        <w:rPr>
          <w:sz w:val="20"/>
          <w:szCs w:val="20"/>
          <w:color w:val="auto"/>
        </w:rPr>
      </w:pPr>
      <w:r>
        <w:rPr>
          <w:rFonts w:ascii="Arial Narrow" w:cs="Arial Narrow" w:eastAsia="Arial Narrow" w:hAnsi="Arial Narrow"/>
          <w:sz w:val="18"/>
          <w:szCs w:val="18"/>
          <w:color w:val="3366FF"/>
        </w:rPr>
        <w:t>Travis County Green Party</w:t>
      </w:r>
    </w:p>
    <w:p>
      <w:pPr>
        <w:spacing w:after="0" w:line="60" w:lineRule="exact"/>
        <w:rPr>
          <w:sz w:val="24"/>
          <w:szCs w:val="24"/>
          <w:color w:val="auto"/>
        </w:rPr>
      </w:pPr>
    </w:p>
    <w:p>
      <w:pPr>
        <w:spacing w:after="0"/>
        <w:rPr>
          <w:sz w:val="20"/>
          <w:szCs w:val="20"/>
          <w:color w:val="auto"/>
        </w:rPr>
      </w:pPr>
      <w:r>
        <w:rPr>
          <w:rFonts w:ascii="Arial Narrow" w:cs="Arial Narrow" w:eastAsia="Arial Narrow" w:hAnsi="Arial Narrow"/>
          <w:sz w:val="18"/>
          <w:szCs w:val="18"/>
          <w:color w:val="3366FF"/>
        </w:rPr>
        <w:t>Water Aid – Texas State University</w:t>
      </w:r>
    </w:p>
    <w:p>
      <w:pPr>
        <w:spacing w:after="0" w:line="60" w:lineRule="exact"/>
        <w:rPr>
          <w:sz w:val="24"/>
          <w:szCs w:val="24"/>
          <w:color w:val="auto"/>
        </w:rPr>
      </w:pPr>
    </w:p>
    <w:p>
      <w:pPr>
        <w:spacing w:after="0"/>
        <w:rPr>
          <w:sz w:val="20"/>
          <w:szCs w:val="20"/>
          <w:color w:val="auto"/>
        </w:rPr>
      </w:pPr>
      <w:r>
        <w:rPr>
          <w:rFonts w:ascii="Arial Narrow" w:cs="Arial Narrow" w:eastAsia="Arial Narrow" w:hAnsi="Arial Narrow"/>
          <w:sz w:val="18"/>
          <w:szCs w:val="18"/>
          <w:color w:val="3366FF"/>
        </w:rPr>
        <w:t>West Texas Springs Alliance</w:t>
      </w:r>
    </w:p>
    <w:p>
      <w:pPr>
        <w:spacing w:after="0" w:line="60" w:lineRule="exact"/>
        <w:rPr>
          <w:sz w:val="24"/>
          <w:szCs w:val="24"/>
          <w:color w:val="auto"/>
        </w:rPr>
      </w:pPr>
    </w:p>
    <w:p>
      <w:pPr>
        <w:spacing w:after="0"/>
        <w:rPr>
          <w:sz w:val="20"/>
          <w:szCs w:val="20"/>
          <w:color w:val="auto"/>
        </w:rPr>
      </w:pPr>
      <w:r>
        <w:rPr>
          <w:rFonts w:ascii="Arial Narrow" w:cs="Arial Narrow" w:eastAsia="Arial Narrow" w:hAnsi="Arial Narrow"/>
          <w:sz w:val="18"/>
          <w:szCs w:val="18"/>
          <w:color w:val="3366FF"/>
        </w:rPr>
        <w:t>Wildlife Rescue &amp; Rehabilitation</w:t>
      </w:r>
    </w:p>
    <w:p>
      <w:pPr>
        <w:spacing w:after="0" w:line="60" w:lineRule="exact"/>
        <w:rPr>
          <w:sz w:val="24"/>
          <w:szCs w:val="24"/>
          <w:color w:val="auto"/>
        </w:rPr>
      </w:pPr>
    </w:p>
    <w:p>
      <w:pPr>
        <w:spacing w:after="0"/>
        <w:rPr>
          <w:sz w:val="20"/>
          <w:szCs w:val="20"/>
          <w:color w:val="auto"/>
        </w:rPr>
      </w:pPr>
      <w:r>
        <w:rPr>
          <w:rFonts w:ascii="Arial Narrow" w:cs="Arial Narrow" w:eastAsia="Arial Narrow" w:hAnsi="Arial Narrow"/>
          <w:sz w:val="18"/>
          <w:szCs w:val="18"/>
          <w:color w:val="3366FF"/>
        </w:rPr>
        <w:t>Wimberley Valley Watershed Association</w:t>
      </w:r>
    </w:p>
    <w:p>
      <w:pPr>
        <w:spacing w:after="0" w:line="322" w:lineRule="exact"/>
        <w:rPr>
          <w:sz w:val="24"/>
          <w:szCs w:val="24"/>
          <w:color w:val="auto"/>
        </w:rPr>
      </w:pPr>
    </w:p>
    <w:p>
      <w:pPr>
        <w:jc w:val="center"/>
        <w:spacing w:after="0"/>
        <w:rPr>
          <w:sz w:val="20"/>
          <w:szCs w:val="20"/>
          <w:color w:val="auto"/>
        </w:rPr>
      </w:pPr>
      <w:r>
        <w:rPr>
          <w:rFonts w:ascii="Arial Narrow" w:cs="Arial Narrow" w:eastAsia="Arial Narrow" w:hAnsi="Arial Narrow"/>
          <w:sz w:val="18"/>
          <w:szCs w:val="18"/>
          <w:b w:val="1"/>
          <w:bCs w:val="1"/>
          <w:color w:val="3366FF"/>
        </w:rPr>
        <w:t>PO Box 15618</w:t>
      </w:r>
    </w:p>
    <w:p>
      <w:pPr>
        <w:jc w:val="center"/>
        <w:ind w:left="20"/>
        <w:spacing w:after="0"/>
        <w:rPr>
          <w:sz w:val="20"/>
          <w:szCs w:val="20"/>
          <w:color w:val="auto"/>
        </w:rPr>
      </w:pPr>
      <w:r>
        <w:rPr>
          <w:rFonts w:ascii="Arial Narrow" w:cs="Arial Narrow" w:eastAsia="Arial Narrow" w:hAnsi="Arial Narrow"/>
          <w:sz w:val="18"/>
          <w:szCs w:val="18"/>
          <w:b w:val="1"/>
          <w:bCs w:val="1"/>
          <w:color w:val="3366FF"/>
        </w:rPr>
        <w:t>San Antonio, Texas 78212</w:t>
      </w:r>
    </w:p>
    <w:p>
      <w:pPr>
        <w:ind w:left="1240" w:hanging="390"/>
        <w:spacing w:after="0" w:line="231" w:lineRule="auto"/>
        <w:tabs>
          <w:tab w:leader="none" w:pos="1240" w:val="left"/>
        </w:tabs>
        <w:numPr>
          <w:ilvl w:val="0"/>
          <w:numId w:val="1"/>
        </w:numPr>
        <w:rPr>
          <w:rFonts w:ascii="Arial Narrow" w:cs="Arial Narrow" w:eastAsia="Arial Narrow" w:hAnsi="Arial Narrow"/>
          <w:sz w:val="18"/>
          <w:szCs w:val="18"/>
          <w:b w:val="1"/>
          <w:bCs w:val="1"/>
          <w:color w:val="3366FF"/>
        </w:rPr>
      </w:pPr>
      <w:r>
        <w:rPr>
          <w:rFonts w:ascii="Arial Narrow" w:cs="Arial Narrow" w:eastAsia="Arial Narrow" w:hAnsi="Arial Narrow"/>
          <w:sz w:val="18"/>
          <w:szCs w:val="18"/>
          <w:b w:val="1"/>
          <w:bCs w:val="1"/>
          <w:color w:val="3366FF"/>
        </w:rPr>
        <w:t>320-6294</w:t>
      </w:r>
    </w:p>
    <w:p>
      <w:pPr>
        <w:ind w:left="380"/>
        <w:spacing w:after="0"/>
        <w:rPr>
          <w:rFonts w:ascii="Arial Narrow" w:cs="Arial Narrow" w:eastAsia="Arial Narrow" w:hAnsi="Arial Narrow"/>
          <w:sz w:val="18"/>
          <w:szCs w:val="18"/>
          <w:b w:val="1"/>
          <w:bCs w:val="1"/>
          <w:color w:val="3366FF"/>
        </w:rPr>
      </w:pPr>
      <w:r>
        <w:rPr>
          <w:rFonts w:ascii="Arial Narrow" w:cs="Arial Narrow" w:eastAsia="Arial Narrow" w:hAnsi="Arial Narrow"/>
          <w:sz w:val="20"/>
          <w:szCs w:val="20"/>
          <w:b w:val="1"/>
          <w:bCs w:val="1"/>
          <w:color w:val="3366FF"/>
        </w:rPr>
        <w:t>www.AquiferAlliance.org</w:t>
      </w:r>
    </w:p>
    <w:p>
      <w:pPr>
        <w:spacing w:after="0" w:line="20" w:lineRule="exact"/>
        <w:rPr>
          <w:sz w:val="24"/>
          <w:szCs w:val="24"/>
          <w:color w:val="auto"/>
        </w:rPr>
      </w:pPr>
      <w:r>
        <w:rPr>
          <w:sz w:val="24"/>
          <w:szCs w:val="24"/>
          <w:color w:val="auto"/>
        </w:rPr>
        <w:br w:type="column"/>
      </w:r>
    </w:p>
    <w:p>
      <w:pPr>
        <w:spacing w:after="0" w:line="200" w:lineRule="exact"/>
        <w:rPr>
          <w:sz w:val="24"/>
          <w:szCs w:val="24"/>
          <w:color w:val="auto"/>
        </w:rPr>
      </w:pPr>
    </w:p>
    <w:p>
      <w:pPr>
        <w:spacing w:after="0" w:line="395" w:lineRule="exact"/>
        <w:rPr>
          <w:sz w:val="24"/>
          <w:szCs w:val="24"/>
          <w:color w:val="auto"/>
        </w:rPr>
      </w:pPr>
    </w:p>
    <w:p>
      <w:pPr>
        <w:ind w:left="80"/>
        <w:spacing w:after="0"/>
        <w:rPr>
          <w:sz w:val="20"/>
          <w:szCs w:val="20"/>
          <w:color w:val="auto"/>
        </w:rPr>
      </w:pPr>
      <w:r>
        <w:rPr>
          <w:rFonts w:ascii="Arial Narrow" w:cs="Arial Narrow" w:eastAsia="Arial Narrow" w:hAnsi="Arial Narrow"/>
          <w:sz w:val="24"/>
          <w:szCs w:val="24"/>
          <w:color w:val="auto"/>
        </w:rPr>
        <w:t>July 30, 2019</w:t>
      </w:r>
    </w:p>
    <w:p>
      <w:pPr>
        <w:spacing w:after="0" w:line="274" w:lineRule="exact"/>
        <w:rPr>
          <w:sz w:val="24"/>
          <w:szCs w:val="24"/>
          <w:color w:val="auto"/>
        </w:rPr>
      </w:pPr>
    </w:p>
    <w:p>
      <w:pPr>
        <w:spacing w:after="0"/>
        <w:rPr>
          <w:sz w:val="20"/>
          <w:szCs w:val="20"/>
          <w:color w:val="auto"/>
        </w:rPr>
      </w:pPr>
      <w:r>
        <w:rPr>
          <w:rFonts w:ascii="Arial Narrow" w:cs="Arial Narrow" w:eastAsia="Arial Narrow" w:hAnsi="Arial Narrow"/>
          <w:sz w:val="24"/>
          <w:szCs w:val="24"/>
          <w:color w:val="auto"/>
        </w:rPr>
        <w:t>Ms. Kris Hogan</w:t>
      </w:r>
    </w:p>
    <w:p>
      <w:pPr>
        <w:spacing w:after="0" w:line="1" w:lineRule="exact"/>
        <w:rPr>
          <w:sz w:val="24"/>
          <w:szCs w:val="24"/>
          <w:color w:val="auto"/>
        </w:rPr>
      </w:pPr>
    </w:p>
    <w:p>
      <w:pPr>
        <w:spacing w:after="0"/>
        <w:rPr>
          <w:sz w:val="20"/>
          <w:szCs w:val="20"/>
          <w:color w:val="auto"/>
        </w:rPr>
      </w:pPr>
      <w:r>
        <w:rPr>
          <w:rFonts w:ascii="Arial Narrow" w:cs="Arial Narrow" w:eastAsia="Arial Narrow" w:hAnsi="Arial Narrow"/>
          <w:sz w:val="24"/>
          <w:szCs w:val="24"/>
          <w:color w:val="auto"/>
        </w:rPr>
        <w:t>MC 205, Office of Legal Services</w:t>
      </w:r>
    </w:p>
    <w:p>
      <w:pPr>
        <w:spacing w:after="0" w:line="1" w:lineRule="exact"/>
        <w:rPr>
          <w:sz w:val="24"/>
          <w:szCs w:val="24"/>
          <w:color w:val="auto"/>
        </w:rPr>
      </w:pPr>
    </w:p>
    <w:p>
      <w:pPr>
        <w:spacing w:after="0"/>
        <w:rPr>
          <w:sz w:val="20"/>
          <w:szCs w:val="20"/>
          <w:color w:val="auto"/>
        </w:rPr>
      </w:pPr>
      <w:r>
        <w:rPr>
          <w:rFonts w:ascii="Arial Narrow" w:cs="Arial Narrow" w:eastAsia="Arial Narrow" w:hAnsi="Arial Narrow"/>
          <w:sz w:val="24"/>
          <w:szCs w:val="24"/>
          <w:color w:val="auto"/>
        </w:rPr>
        <w:t>Texas Commission of Environmental Quality</w:t>
      </w:r>
    </w:p>
    <w:p>
      <w:pPr>
        <w:spacing w:after="0" w:line="238" w:lineRule="auto"/>
        <w:rPr>
          <w:sz w:val="20"/>
          <w:szCs w:val="20"/>
          <w:color w:val="auto"/>
        </w:rPr>
      </w:pPr>
      <w:r>
        <w:rPr>
          <w:rFonts w:ascii="Arial Narrow" w:cs="Arial Narrow" w:eastAsia="Arial Narrow" w:hAnsi="Arial Narrow"/>
          <w:sz w:val="24"/>
          <w:szCs w:val="24"/>
          <w:color w:val="auto"/>
        </w:rPr>
        <w:t>P.O. Box 13087</w:t>
      </w:r>
    </w:p>
    <w:p>
      <w:pPr>
        <w:spacing w:after="0" w:line="1" w:lineRule="exact"/>
        <w:rPr>
          <w:sz w:val="24"/>
          <w:szCs w:val="24"/>
          <w:color w:val="auto"/>
        </w:rPr>
      </w:pPr>
    </w:p>
    <w:p>
      <w:pPr>
        <w:spacing w:after="0"/>
        <w:rPr>
          <w:sz w:val="20"/>
          <w:szCs w:val="20"/>
          <w:color w:val="auto"/>
        </w:rPr>
      </w:pPr>
      <w:r>
        <w:rPr>
          <w:rFonts w:ascii="Arial Narrow" w:cs="Arial Narrow" w:eastAsia="Arial Narrow" w:hAnsi="Arial Narrow"/>
          <w:sz w:val="24"/>
          <w:szCs w:val="24"/>
          <w:color w:val="auto"/>
        </w:rPr>
        <w:t>Austin, TX 78711-3087</w:t>
      </w:r>
    </w:p>
    <w:p>
      <w:pPr>
        <w:spacing w:after="0" w:line="277" w:lineRule="exact"/>
        <w:rPr>
          <w:sz w:val="24"/>
          <w:szCs w:val="24"/>
          <w:color w:val="auto"/>
        </w:rPr>
      </w:pPr>
    </w:p>
    <w:p>
      <w:pPr>
        <w:ind w:right="720"/>
        <w:spacing w:after="0" w:line="290" w:lineRule="auto"/>
        <w:rPr>
          <w:sz w:val="20"/>
          <w:szCs w:val="20"/>
          <w:color w:val="auto"/>
        </w:rPr>
      </w:pPr>
      <w:r>
        <w:rPr>
          <w:rFonts w:ascii="Arial Narrow" w:cs="Arial Narrow" w:eastAsia="Arial Narrow" w:hAnsi="Arial Narrow"/>
          <w:sz w:val="24"/>
          <w:szCs w:val="24"/>
          <w:color w:val="auto"/>
        </w:rPr>
        <w:t>Re: 2016-042-309-OW: Amendments of Chapters 222 and 309 Relating to Beneficial Reuse Credits</w:t>
      </w:r>
    </w:p>
    <w:p>
      <w:pPr>
        <w:spacing w:after="0" w:line="160" w:lineRule="exact"/>
        <w:rPr>
          <w:sz w:val="24"/>
          <w:szCs w:val="24"/>
          <w:color w:val="auto"/>
        </w:rPr>
      </w:pPr>
    </w:p>
    <w:p>
      <w:pPr>
        <w:spacing w:after="0"/>
        <w:rPr>
          <w:sz w:val="20"/>
          <w:szCs w:val="20"/>
          <w:color w:val="auto"/>
        </w:rPr>
      </w:pPr>
      <w:r>
        <w:rPr>
          <w:rFonts w:ascii="Arial Narrow" w:cs="Arial Narrow" w:eastAsia="Arial Narrow" w:hAnsi="Arial Narrow"/>
          <w:sz w:val="24"/>
          <w:szCs w:val="24"/>
          <w:color w:val="auto"/>
        </w:rPr>
        <w:t>Dear Ms. Hogan,</w:t>
      </w:r>
    </w:p>
    <w:p>
      <w:pPr>
        <w:spacing w:after="0" w:line="183" w:lineRule="exact"/>
        <w:rPr>
          <w:sz w:val="24"/>
          <w:szCs w:val="24"/>
          <w:color w:val="auto"/>
        </w:rPr>
      </w:pPr>
    </w:p>
    <w:p>
      <w:pPr>
        <w:ind w:right="160"/>
        <w:spacing w:after="0" w:line="252" w:lineRule="auto"/>
        <w:rPr>
          <w:sz w:val="20"/>
          <w:szCs w:val="20"/>
          <w:color w:val="auto"/>
        </w:rPr>
      </w:pPr>
      <w:r>
        <w:rPr>
          <w:rFonts w:ascii="Arial Narrow" w:cs="Arial Narrow" w:eastAsia="Arial Narrow" w:hAnsi="Arial Narrow"/>
          <w:sz w:val="24"/>
          <w:szCs w:val="24"/>
          <w:color w:val="auto"/>
        </w:rPr>
        <w:t>These comments are submitted on behalf of the forty-nine member organizations of the Greater Edwards Aquifer Alliance. Please note and count as commenting all of the organizations listed as signing this cover letter. GEAA positions and comments represent and require 100% consensus from our member organizations.</w:t>
      </w:r>
    </w:p>
    <w:p>
      <w:pPr>
        <w:spacing w:after="0" w:line="117" w:lineRule="exact"/>
        <w:rPr>
          <w:sz w:val="24"/>
          <w:szCs w:val="24"/>
          <w:color w:val="auto"/>
        </w:rPr>
      </w:pPr>
    </w:p>
    <w:p>
      <w:pPr>
        <w:ind w:right="160"/>
        <w:spacing w:after="0" w:line="248" w:lineRule="auto"/>
        <w:rPr>
          <w:sz w:val="20"/>
          <w:szCs w:val="20"/>
          <w:color w:val="auto"/>
        </w:rPr>
      </w:pPr>
      <w:r>
        <w:rPr>
          <w:rFonts w:ascii="Arial Narrow" w:cs="Arial Narrow" w:eastAsia="Arial Narrow" w:hAnsi="Arial Narrow"/>
          <w:sz w:val="24"/>
          <w:szCs w:val="24"/>
          <w:color w:val="auto"/>
        </w:rPr>
        <w:t>Unprecedented growth in the Texas Hill Country has boosted disposal of sewage effluent to the forefront of issues of concern among our members. Encouraging land application and the beneficial reuse of this effluent enhances efforts to conserve water and more effectively preserves the quality of recharge to our ground and surface waters. We therefore wholeheartedly support the proposed rule-making to allow beneficial reuse to partially substitute for Texas Land Application Permit (TLAP) wastewater disposal area.</w:t>
      </w:r>
    </w:p>
    <w:p>
      <w:pPr>
        <w:spacing w:after="0" w:line="118" w:lineRule="exact"/>
        <w:rPr>
          <w:sz w:val="24"/>
          <w:szCs w:val="24"/>
          <w:color w:val="auto"/>
        </w:rPr>
      </w:pPr>
    </w:p>
    <w:p>
      <w:pPr>
        <w:ind w:right="60"/>
        <w:spacing w:after="0" w:line="250" w:lineRule="auto"/>
        <w:rPr>
          <w:sz w:val="20"/>
          <w:szCs w:val="20"/>
          <w:color w:val="auto"/>
        </w:rPr>
      </w:pPr>
      <w:r>
        <w:rPr>
          <w:rFonts w:ascii="Arial Narrow" w:cs="Arial Narrow" w:eastAsia="Arial Narrow" w:hAnsi="Arial Narrow"/>
          <w:sz w:val="24"/>
          <w:szCs w:val="24"/>
          <w:color w:val="auto"/>
        </w:rPr>
        <w:t>We further propose the addition of rules that require a minimum buffer zone between irrigation &amp; reuse areas, and riparian &amp; aquifer recharge features in order to protect ambient water quality. As Texas grows and adds population, we must strike a balance by adopting rules that protect opportunities for water recreation and water tourism, and property rights of Texans who rely on well water, while permitting sustainable residential and commercial development.</w:t>
      </w:r>
    </w:p>
    <w:p>
      <w:pPr>
        <w:spacing w:after="0" w:line="115" w:lineRule="exact"/>
        <w:rPr>
          <w:sz w:val="24"/>
          <w:szCs w:val="24"/>
          <w:color w:val="auto"/>
        </w:rPr>
      </w:pPr>
    </w:p>
    <w:p>
      <w:pPr>
        <w:ind w:right="300"/>
        <w:spacing w:after="0" w:line="265" w:lineRule="auto"/>
        <w:rPr>
          <w:sz w:val="20"/>
          <w:szCs w:val="20"/>
          <w:color w:val="auto"/>
        </w:rPr>
      </w:pPr>
      <w:r>
        <w:rPr>
          <w:rFonts w:ascii="Arial Narrow" w:cs="Arial Narrow" w:eastAsia="Arial Narrow" w:hAnsi="Arial Narrow"/>
          <w:sz w:val="24"/>
          <w:szCs w:val="24"/>
          <w:color w:val="auto"/>
        </w:rPr>
        <w:t>Thank you for your work, and the work of all the TCEQ staff to protect water quality and to prepare a rule proposal that will improve and protect Texas rivers and streams, and for this opportunity to submit the attached comments.</w:t>
      </w:r>
    </w:p>
    <w:p>
      <w:pPr>
        <w:spacing w:after="0" w:line="98" w:lineRule="exact"/>
        <w:rPr>
          <w:sz w:val="24"/>
          <w:szCs w:val="24"/>
          <w:color w:val="auto"/>
        </w:rPr>
      </w:pPr>
    </w:p>
    <w:p>
      <w:pPr>
        <w:spacing w:after="0"/>
        <w:rPr>
          <w:sz w:val="20"/>
          <w:szCs w:val="20"/>
          <w:color w:val="auto"/>
        </w:rPr>
      </w:pPr>
      <w:r>
        <w:rPr>
          <w:rFonts w:ascii="Arial Narrow" w:cs="Arial Narrow" w:eastAsia="Arial Narrow" w:hAnsi="Arial Narrow"/>
          <w:sz w:val="24"/>
          <w:szCs w:val="24"/>
          <w:color w:val="auto"/>
        </w:rPr>
        <w:t>Sincerely,</w:t>
      </w:r>
    </w:p>
    <w:p>
      <w:pPr>
        <w:spacing w:after="0" w:line="20" w:lineRule="exact"/>
        <w:rPr>
          <w:sz w:val="24"/>
          <w:szCs w:val="24"/>
          <w:color w:val="auto"/>
        </w:rPr>
      </w:pPr>
      <w:r>
        <w:rPr>
          <w:sz w:val="24"/>
          <w:szCs w:val="24"/>
          <w:color w:val="auto"/>
        </w:rPr>
        <w:drawing>
          <wp:anchor simplePos="0" relativeHeight="251657728" behindDoc="1" locked="0" layoutInCell="0" allowOverlap="1">
            <wp:simplePos x="0" y="0"/>
            <wp:positionH relativeFrom="column">
              <wp:posOffset>0</wp:posOffset>
            </wp:positionH>
            <wp:positionV relativeFrom="paragraph">
              <wp:posOffset>27305</wp:posOffset>
            </wp:positionV>
            <wp:extent cx="1661160" cy="65659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extLst>
                    </a:blip>
                    <a:srcRect/>
                    <a:stretch>
                      <a:fillRect/>
                    </a:stretch>
                  </pic:blipFill>
                  <pic:spPr bwMode="auto">
                    <a:xfrm>
                      <a:off x="0" y="0"/>
                      <a:ext cx="1661160" cy="656590"/>
                    </a:xfrm>
                    <a:prstGeom prst="rect">
                      <a:avLst/>
                    </a:prstGeom>
                    <a:noFill/>
                  </pic:spPr>
                </pic:pic>
              </a:graphicData>
            </a:graphic>
          </wp:anchor>
        </w:drawing>
      </w: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15" w:lineRule="exact"/>
        <w:rPr>
          <w:sz w:val="24"/>
          <w:szCs w:val="24"/>
          <w:color w:val="auto"/>
        </w:rPr>
      </w:pPr>
    </w:p>
    <w:p>
      <w:pPr>
        <w:spacing w:after="0"/>
        <w:rPr>
          <w:sz w:val="20"/>
          <w:szCs w:val="20"/>
          <w:color w:val="auto"/>
        </w:rPr>
      </w:pPr>
      <w:r>
        <w:rPr>
          <w:rFonts w:ascii="Arial Narrow" w:cs="Arial Narrow" w:eastAsia="Arial Narrow" w:hAnsi="Arial Narrow"/>
          <w:sz w:val="24"/>
          <w:szCs w:val="24"/>
          <w:color w:val="auto"/>
        </w:rPr>
        <w:t>Annalisa Peace</w:t>
      </w:r>
    </w:p>
    <w:p>
      <w:pPr>
        <w:spacing w:after="0" w:line="1" w:lineRule="exact"/>
        <w:rPr>
          <w:sz w:val="24"/>
          <w:szCs w:val="24"/>
          <w:color w:val="auto"/>
        </w:rPr>
      </w:pPr>
    </w:p>
    <w:p>
      <w:pPr>
        <w:spacing w:after="0"/>
        <w:rPr>
          <w:sz w:val="20"/>
          <w:szCs w:val="20"/>
          <w:color w:val="auto"/>
        </w:rPr>
      </w:pPr>
      <w:r>
        <w:rPr>
          <w:rFonts w:ascii="Arial Narrow" w:cs="Arial Narrow" w:eastAsia="Arial Narrow" w:hAnsi="Arial Narrow"/>
          <w:sz w:val="24"/>
          <w:szCs w:val="24"/>
          <w:color w:val="auto"/>
        </w:rPr>
        <w:t>Executive Director, Greater Edwards Aquifer Alliance</w:t>
      </w:r>
    </w:p>
    <w:p>
      <w:pPr>
        <w:spacing w:after="0" w:line="183" w:lineRule="exact"/>
        <w:rPr>
          <w:sz w:val="24"/>
          <w:szCs w:val="24"/>
          <w:color w:val="auto"/>
        </w:rPr>
      </w:pPr>
    </w:p>
    <w:p>
      <w:pPr>
        <w:spacing w:after="0"/>
        <w:rPr>
          <w:sz w:val="20"/>
          <w:szCs w:val="20"/>
          <w:color w:val="auto"/>
        </w:rPr>
      </w:pPr>
      <w:r>
        <w:rPr>
          <w:rFonts w:ascii="Arial Narrow" w:cs="Arial Narrow" w:eastAsia="Arial Narrow" w:hAnsi="Arial Narrow"/>
          <w:sz w:val="24"/>
          <w:szCs w:val="24"/>
          <w:color w:val="auto"/>
        </w:rPr>
        <w:t>Alamo Group of the Sierra Club, Bexar County</w:t>
      </w:r>
    </w:p>
    <w:p>
      <w:pPr>
        <w:spacing w:after="0" w:line="1" w:lineRule="exact"/>
        <w:rPr>
          <w:sz w:val="24"/>
          <w:szCs w:val="24"/>
          <w:color w:val="auto"/>
        </w:rPr>
      </w:pPr>
    </w:p>
    <w:p>
      <w:pPr>
        <w:spacing w:after="0"/>
        <w:rPr>
          <w:sz w:val="20"/>
          <w:szCs w:val="20"/>
          <w:color w:val="auto"/>
        </w:rPr>
      </w:pPr>
      <w:r>
        <w:rPr>
          <w:rFonts w:ascii="Arial Narrow" w:cs="Arial Narrow" w:eastAsia="Arial Narrow" w:hAnsi="Arial Narrow"/>
          <w:sz w:val="24"/>
          <w:szCs w:val="24"/>
          <w:color w:val="auto"/>
        </w:rPr>
        <w:t>Austin Group of the Sierra Club, Travis County</w:t>
      </w:r>
    </w:p>
    <w:p>
      <w:pPr>
        <w:spacing w:after="0" w:line="1" w:lineRule="exact"/>
        <w:rPr>
          <w:sz w:val="24"/>
          <w:szCs w:val="24"/>
          <w:color w:val="auto"/>
        </w:rPr>
      </w:pPr>
    </w:p>
    <w:p>
      <w:pPr>
        <w:spacing w:after="0"/>
        <w:rPr>
          <w:sz w:val="20"/>
          <w:szCs w:val="20"/>
          <w:color w:val="auto"/>
        </w:rPr>
      </w:pPr>
      <w:r>
        <w:rPr>
          <w:rFonts w:ascii="Arial Narrow" w:cs="Arial Narrow" w:eastAsia="Arial Narrow" w:hAnsi="Arial Narrow"/>
          <w:sz w:val="24"/>
          <w:szCs w:val="24"/>
          <w:color w:val="auto"/>
        </w:rPr>
        <w:t>Bexar Audubon Society, Bexar County</w:t>
      </w:r>
    </w:p>
    <w:p>
      <w:pPr>
        <w:sectPr>
          <w:pgSz w:w="12240" w:h="15840" w:orient="portrait"/>
          <w:cols w:equalWidth="0" w:num="2">
            <w:col w:w="2700" w:space="440"/>
            <w:col w:w="7200"/>
          </w:cols>
          <w:pgMar w:left="460" w:top="782" w:right="1440" w:bottom="0" w:gutter="0" w:footer="0" w:header="0"/>
        </w:sectPr>
      </w:pPr>
    </w:p>
    <w:bookmarkStart w:id="1" w:name="page2"/>
    <w:bookmarkEnd w:id="1"/>
    <w:p>
      <w:pPr>
        <w:ind w:left="2160"/>
        <w:spacing w:after="0"/>
        <w:rPr>
          <w:sz w:val="20"/>
          <w:szCs w:val="20"/>
          <w:color w:val="auto"/>
        </w:rPr>
      </w:pPr>
      <w:r>
        <w:rPr>
          <w:rFonts w:ascii="Arial Narrow" w:cs="Arial Narrow" w:eastAsia="Arial Narrow" w:hAnsi="Arial Narrow"/>
          <w:sz w:val="24"/>
          <w:szCs w:val="24"/>
          <w:color w:val="auto"/>
        </w:rPr>
        <w:t>Bexar Green Party, Bexar County</w:t>
      </w:r>
    </w:p>
    <w:p>
      <w:pPr>
        <w:ind w:left="2160"/>
        <w:spacing w:after="0" w:line="238" w:lineRule="auto"/>
        <w:rPr>
          <w:sz w:val="20"/>
          <w:szCs w:val="20"/>
          <w:color w:val="auto"/>
        </w:rPr>
      </w:pPr>
      <w:r>
        <w:rPr>
          <w:rFonts w:ascii="Arial Narrow" w:cs="Arial Narrow" w:eastAsia="Arial Narrow" w:hAnsi="Arial Narrow"/>
          <w:sz w:val="24"/>
          <w:szCs w:val="24"/>
          <w:color w:val="auto"/>
        </w:rPr>
        <w:t>Boerne Together, Kendall County</w:t>
      </w:r>
    </w:p>
    <w:p>
      <w:pPr>
        <w:spacing w:after="0" w:line="1" w:lineRule="exact"/>
        <w:rPr>
          <w:sz w:val="20"/>
          <w:szCs w:val="20"/>
          <w:color w:val="auto"/>
        </w:rPr>
      </w:pPr>
    </w:p>
    <w:p>
      <w:pPr>
        <w:ind w:left="2160"/>
        <w:spacing w:after="0"/>
        <w:rPr>
          <w:sz w:val="20"/>
          <w:szCs w:val="20"/>
          <w:color w:val="auto"/>
        </w:rPr>
      </w:pPr>
      <w:r>
        <w:rPr>
          <w:rFonts w:ascii="Arial Narrow" w:cs="Arial Narrow" w:eastAsia="Arial Narrow" w:hAnsi="Arial Narrow"/>
          <w:sz w:val="24"/>
          <w:szCs w:val="24"/>
          <w:color w:val="auto"/>
        </w:rPr>
        <w:t>Bulverde Neighborhood Alliance, Comal County</w:t>
      </w:r>
    </w:p>
    <w:p>
      <w:pPr>
        <w:spacing w:after="0" w:line="1" w:lineRule="exact"/>
        <w:rPr>
          <w:sz w:val="20"/>
          <w:szCs w:val="20"/>
          <w:color w:val="auto"/>
        </w:rPr>
      </w:pPr>
    </w:p>
    <w:p>
      <w:pPr>
        <w:ind w:left="2160"/>
        <w:spacing w:after="0"/>
        <w:rPr>
          <w:sz w:val="20"/>
          <w:szCs w:val="20"/>
          <w:color w:val="auto"/>
        </w:rPr>
      </w:pPr>
      <w:r>
        <w:rPr>
          <w:rFonts w:ascii="Arial Narrow" w:cs="Arial Narrow" w:eastAsia="Arial Narrow" w:hAnsi="Arial Narrow"/>
          <w:sz w:val="24"/>
          <w:szCs w:val="24"/>
          <w:color w:val="auto"/>
        </w:rPr>
        <w:t>Cibolo Nature Center, Kendall County</w:t>
      </w:r>
    </w:p>
    <w:p>
      <w:pPr>
        <w:spacing w:after="0" w:line="1" w:lineRule="exact"/>
        <w:rPr>
          <w:sz w:val="20"/>
          <w:szCs w:val="20"/>
          <w:color w:val="auto"/>
        </w:rPr>
      </w:pPr>
    </w:p>
    <w:p>
      <w:pPr>
        <w:ind w:left="2160"/>
        <w:spacing w:after="0"/>
        <w:rPr>
          <w:sz w:val="20"/>
          <w:szCs w:val="20"/>
          <w:color w:val="auto"/>
        </w:rPr>
      </w:pPr>
      <w:r>
        <w:rPr>
          <w:rFonts w:ascii="Arial Narrow" w:cs="Arial Narrow" w:eastAsia="Arial Narrow" w:hAnsi="Arial Narrow"/>
          <w:sz w:val="24"/>
          <w:szCs w:val="24"/>
          <w:color w:val="auto"/>
        </w:rPr>
        <w:t>Citizens Allied for Smart Expansion, Comal County</w:t>
      </w:r>
    </w:p>
    <w:p>
      <w:pPr>
        <w:spacing w:after="0" w:line="1" w:lineRule="exact"/>
        <w:rPr>
          <w:sz w:val="20"/>
          <w:szCs w:val="20"/>
          <w:color w:val="auto"/>
        </w:rPr>
      </w:pPr>
    </w:p>
    <w:p>
      <w:pPr>
        <w:ind w:left="2160" w:right="1780"/>
        <w:spacing w:after="0" w:line="239" w:lineRule="auto"/>
        <w:rPr>
          <w:sz w:val="20"/>
          <w:szCs w:val="20"/>
          <w:color w:val="auto"/>
        </w:rPr>
      </w:pPr>
      <w:r>
        <w:rPr>
          <w:rFonts w:ascii="Arial Narrow" w:cs="Arial Narrow" w:eastAsia="Arial Narrow" w:hAnsi="Arial Narrow"/>
          <w:sz w:val="24"/>
          <w:szCs w:val="24"/>
          <w:color w:val="auto"/>
        </w:rPr>
        <w:t>Citizens for the Protection of Cibolo Creek, Guadalupe County Comal County Conservation Alliance, Comal County Environment Texas</w:t>
      </w:r>
    </w:p>
    <w:p>
      <w:pPr>
        <w:spacing w:after="0" w:line="3" w:lineRule="exact"/>
        <w:rPr>
          <w:sz w:val="20"/>
          <w:szCs w:val="20"/>
          <w:color w:val="auto"/>
        </w:rPr>
      </w:pPr>
    </w:p>
    <w:p>
      <w:pPr>
        <w:ind w:left="2160" w:right="1560"/>
        <w:spacing w:after="0" w:line="239" w:lineRule="auto"/>
        <w:rPr>
          <w:sz w:val="20"/>
          <w:szCs w:val="20"/>
          <w:color w:val="auto"/>
        </w:rPr>
      </w:pPr>
      <w:r>
        <w:rPr>
          <w:rFonts w:ascii="Arial Narrow" w:cs="Arial Narrow" w:eastAsia="Arial Narrow" w:hAnsi="Arial Narrow"/>
          <w:sz w:val="24"/>
          <w:szCs w:val="24"/>
          <w:color w:val="auto"/>
        </w:rPr>
        <w:t>First Universalist Unitarian Church of San Antonio, Bexar County Friends of Canyon Lake, Comal County</w:t>
      </w:r>
    </w:p>
    <w:p>
      <w:pPr>
        <w:spacing w:after="0" w:line="1" w:lineRule="exact"/>
        <w:rPr>
          <w:sz w:val="20"/>
          <w:szCs w:val="20"/>
          <w:color w:val="auto"/>
        </w:rPr>
      </w:pPr>
    </w:p>
    <w:p>
      <w:pPr>
        <w:ind w:left="2160"/>
        <w:spacing w:after="0"/>
        <w:rPr>
          <w:sz w:val="20"/>
          <w:szCs w:val="20"/>
          <w:color w:val="auto"/>
        </w:rPr>
      </w:pPr>
      <w:r>
        <w:rPr>
          <w:rFonts w:ascii="Arial Narrow" w:cs="Arial Narrow" w:eastAsia="Arial Narrow" w:hAnsi="Arial Narrow"/>
          <w:sz w:val="24"/>
          <w:szCs w:val="24"/>
          <w:color w:val="auto"/>
        </w:rPr>
        <w:t>Friends of Dry Comal Creek, Comal County</w:t>
      </w:r>
    </w:p>
    <w:p>
      <w:pPr>
        <w:spacing w:after="0" w:line="1" w:lineRule="exact"/>
        <w:rPr>
          <w:sz w:val="20"/>
          <w:szCs w:val="20"/>
          <w:color w:val="auto"/>
        </w:rPr>
      </w:pPr>
    </w:p>
    <w:p>
      <w:pPr>
        <w:ind w:left="2160"/>
        <w:spacing w:after="0"/>
        <w:rPr>
          <w:sz w:val="20"/>
          <w:szCs w:val="20"/>
          <w:color w:val="auto"/>
        </w:rPr>
      </w:pPr>
      <w:r>
        <w:rPr>
          <w:rFonts w:ascii="Arial Narrow" w:cs="Arial Narrow" w:eastAsia="Arial Narrow" w:hAnsi="Arial Narrow"/>
          <w:sz w:val="24"/>
          <w:szCs w:val="24"/>
          <w:color w:val="auto"/>
        </w:rPr>
        <w:t>Friends of Government Canyon, Bexar County</w:t>
      </w:r>
    </w:p>
    <w:p>
      <w:pPr>
        <w:spacing w:after="0" w:line="1" w:lineRule="exact"/>
        <w:rPr>
          <w:sz w:val="20"/>
          <w:szCs w:val="20"/>
          <w:color w:val="auto"/>
        </w:rPr>
      </w:pPr>
    </w:p>
    <w:p>
      <w:pPr>
        <w:ind w:left="2160"/>
        <w:spacing w:after="0"/>
        <w:rPr>
          <w:sz w:val="20"/>
          <w:szCs w:val="20"/>
          <w:color w:val="auto"/>
        </w:rPr>
      </w:pPr>
      <w:r>
        <w:rPr>
          <w:rFonts w:ascii="Arial Narrow" w:cs="Arial Narrow" w:eastAsia="Arial Narrow" w:hAnsi="Arial Narrow"/>
          <w:sz w:val="24"/>
          <w:szCs w:val="24"/>
          <w:color w:val="auto"/>
        </w:rPr>
        <w:t>Fuerza Unida, Bexar County</w:t>
      </w:r>
    </w:p>
    <w:p>
      <w:pPr>
        <w:ind w:left="2160"/>
        <w:spacing w:after="0" w:line="238" w:lineRule="auto"/>
        <w:rPr>
          <w:sz w:val="20"/>
          <w:szCs w:val="20"/>
          <w:color w:val="auto"/>
        </w:rPr>
      </w:pPr>
      <w:r>
        <w:rPr>
          <w:rFonts w:ascii="Arial Narrow" w:cs="Arial Narrow" w:eastAsia="Arial Narrow" w:hAnsi="Arial Narrow"/>
          <w:sz w:val="24"/>
          <w:szCs w:val="24"/>
          <w:color w:val="auto"/>
        </w:rPr>
        <w:t>Green Party of Austin, Travis County</w:t>
      </w:r>
    </w:p>
    <w:p>
      <w:pPr>
        <w:spacing w:after="0" w:line="1" w:lineRule="exact"/>
        <w:rPr>
          <w:sz w:val="20"/>
          <w:szCs w:val="20"/>
          <w:color w:val="auto"/>
        </w:rPr>
      </w:pPr>
    </w:p>
    <w:p>
      <w:pPr>
        <w:ind w:left="2160"/>
        <w:spacing w:after="0"/>
        <w:rPr>
          <w:sz w:val="20"/>
          <w:szCs w:val="20"/>
          <w:color w:val="auto"/>
        </w:rPr>
      </w:pPr>
      <w:r>
        <w:rPr>
          <w:rFonts w:ascii="Arial Narrow" w:cs="Arial Narrow" w:eastAsia="Arial Narrow" w:hAnsi="Arial Narrow"/>
          <w:sz w:val="24"/>
          <w:szCs w:val="24"/>
          <w:color w:val="auto"/>
        </w:rPr>
        <w:t>Green Society of UTSA, Bexar County</w:t>
      </w:r>
    </w:p>
    <w:p>
      <w:pPr>
        <w:spacing w:after="0" w:line="1" w:lineRule="exact"/>
        <w:rPr>
          <w:sz w:val="20"/>
          <w:szCs w:val="20"/>
          <w:color w:val="auto"/>
        </w:rPr>
      </w:pPr>
    </w:p>
    <w:p>
      <w:pPr>
        <w:ind w:left="2160"/>
        <w:spacing w:after="0"/>
        <w:rPr>
          <w:sz w:val="20"/>
          <w:szCs w:val="20"/>
          <w:color w:val="auto"/>
        </w:rPr>
      </w:pPr>
      <w:r>
        <w:rPr>
          <w:rFonts w:ascii="Arial Narrow" w:cs="Arial Narrow" w:eastAsia="Arial Narrow" w:hAnsi="Arial Narrow"/>
          <w:sz w:val="24"/>
          <w:szCs w:val="24"/>
          <w:color w:val="auto"/>
        </w:rPr>
        <w:t>Guadalupe River Road Alliance, Comal County</w:t>
      </w:r>
    </w:p>
    <w:p>
      <w:pPr>
        <w:spacing w:after="0" w:line="1" w:lineRule="exact"/>
        <w:rPr>
          <w:sz w:val="20"/>
          <w:szCs w:val="20"/>
          <w:color w:val="auto"/>
        </w:rPr>
      </w:pPr>
    </w:p>
    <w:p>
      <w:pPr>
        <w:ind w:left="2160"/>
        <w:spacing w:after="0"/>
        <w:rPr>
          <w:sz w:val="20"/>
          <w:szCs w:val="20"/>
          <w:color w:val="auto"/>
        </w:rPr>
      </w:pPr>
      <w:r>
        <w:rPr>
          <w:rFonts w:ascii="Arial Narrow" w:cs="Arial Narrow" w:eastAsia="Arial Narrow" w:hAnsi="Arial Narrow"/>
          <w:sz w:val="24"/>
          <w:szCs w:val="24"/>
          <w:color w:val="auto"/>
        </w:rPr>
        <w:t>Guardians of Lick Creek, Burnet County</w:t>
      </w:r>
    </w:p>
    <w:p>
      <w:pPr>
        <w:ind w:left="2160"/>
        <w:spacing w:after="0" w:line="238" w:lineRule="auto"/>
        <w:rPr>
          <w:sz w:val="20"/>
          <w:szCs w:val="20"/>
          <w:color w:val="auto"/>
        </w:rPr>
      </w:pPr>
      <w:r>
        <w:rPr>
          <w:rFonts w:ascii="Arial Narrow" w:cs="Arial Narrow" w:eastAsia="Arial Narrow" w:hAnsi="Arial Narrow"/>
          <w:sz w:val="24"/>
          <w:szCs w:val="24"/>
          <w:color w:val="auto"/>
        </w:rPr>
        <w:t>Headwaters at Incarnate Word, Bexar County</w:t>
      </w:r>
    </w:p>
    <w:p>
      <w:pPr>
        <w:spacing w:after="0" w:line="1" w:lineRule="exact"/>
        <w:rPr>
          <w:sz w:val="20"/>
          <w:szCs w:val="20"/>
          <w:color w:val="auto"/>
        </w:rPr>
      </w:pPr>
    </w:p>
    <w:p>
      <w:pPr>
        <w:ind w:left="2160"/>
        <w:spacing w:after="0"/>
        <w:rPr>
          <w:sz w:val="20"/>
          <w:szCs w:val="20"/>
          <w:color w:val="auto"/>
        </w:rPr>
      </w:pPr>
      <w:r>
        <w:rPr>
          <w:rFonts w:ascii="Arial Narrow" w:cs="Arial Narrow" w:eastAsia="Arial Narrow" w:hAnsi="Arial Narrow"/>
          <w:sz w:val="24"/>
          <w:szCs w:val="24"/>
          <w:color w:val="auto"/>
        </w:rPr>
        <w:t>Helotes Heritage Association, Bexar County</w:t>
      </w:r>
    </w:p>
    <w:p>
      <w:pPr>
        <w:spacing w:after="0" w:line="1" w:lineRule="exact"/>
        <w:rPr>
          <w:sz w:val="20"/>
          <w:szCs w:val="20"/>
          <w:color w:val="auto"/>
        </w:rPr>
      </w:pPr>
    </w:p>
    <w:p>
      <w:pPr>
        <w:ind w:left="2160"/>
        <w:spacing w:after="0"/>
        <w:rPr>
          <w:sz w:val="20"/>
          <w:szCs w:val="20"/>
          <w:color w:val="auto"/>
        </w:rPr>
      </w:pPr>
      <w:r>
        <w:rPr>
          <w:rFonts w:ascii="Arial Narrow" w:cs="Arial Narrow" w:eastAsia="Arial Narrow" w:hAnsi="Arial Narrow"/>
          <w:sz w:val="24"/>
          <w:szCs w:val="24"/>
          <w:color w:val="auto"/>
        </w:rPr>
        <w:t>Hill Country Planning Association</w:t>
      </w:r>
    </w:p>
    <w:p>
      <w:pPr>
        <w:spacing w:after="0" w:line="1" w:lineRule="exact"/>
        <w:rPr>
          <w:sz w:val="20"/>
          <w:szCs w:val="20"/>
          <w:color w:val="auto"/>
        </w:rPr>
      </w:pPr>
    </w:p>
    <w:p>
      <w:pPr>
        <w:ind w:left="2160" w:right="2140"/>
        <w:spacing w:after="0" w:line="239" w:lineRule="auto"/>
        <w:rPr>
          <w:sz w:val="20"/>
          <w:szCs w:val="20"/>
          <w:color w:val="auto"/>
        </w:rPr>
      </w:pPr>
      <w:r>
        <w:rPr>
          <w:rFonts w:ascii="Arial Narrow" w:cs="Arial Narrow" w:eastAsia="Arial Narrow" w:hAnsi="Arial Narrow"/>
          <w:sz w:val="24"/>
          <w:szCs w:val="24"/>
          <w:color w:val="auto"/>
        </w:rPr>
        <w:t>Kendall County Well Owners’ Association, Kendall County Kinney County Ground Zero, Kinney County</w:t>
      </w:r>
    </w:p>
    <w:p>
      <w:pPr>
        <w:spacing w:after="0" w:line="1" w:lineRule="exact"/>
        <w:rPr>
          <w:sz w:val="20"/>
          <w:szCs w:val="20"/>
          <w:color w:val="auto"/>
        </w:rPr>
      </w:pPr>
    </w:p>
    <w:p>
      <w:pPr>
        <w:ind w:left="2160"/>
        <w:spacing w:after="0"/>
        <w:rPr>
          <w:sz w:val="20"/>
          <w:szCs w:val="20"/>
          <w:color w:val="auto"/>
        </w:rPr>
      </w:pPr>
      <w:r>
        <w:rPr>
          <w:rFonts w:ascii="Arial Narrow" w:cs="Arial Narrow" w:eastAsia="Arial Narrow" w:hAnsi="Arial Narrow"/>
          <w:sz w:val="24"/>
          <w:szCs w:val="24"/>
          <w:color w:val="auto"/>
        </w:rPr>
        <w:t>Leon Springs Business Association, Bexar County</w:t>
      </w:r>
    </w:p>
    <w:p>
      <w:pPr>
        <w:spacing w:after="0" w:line="1" w:lineRule="exact"/>
        <w:rPr>
          <w:sz w:val="20"/>
          <w:szCs w:val="20"/>
          <w:color w:val="auto"/>
        </w:rPr>
      </w:pPr>
    </w:p>
    <w:p>
      <w:pPr>
        <w:ind w:left="2160"/>
        <w:spacing w:after="0"/>
        <w:rPr>
          <w:sz w:val="20"/>
          <w:szCs w:val="20"/>
          <w:color w:val="auto"/>
        </w:rPr>
      </w:pPr>
      <w:r>
        <w:rPr>
          <w:rFonts w:ascii="Arial Narrow" w:cs="Arial Narrow" w:eastAsia="Arial Narrow" w:hAnsi="Arial Narrow"/>
          <w:sz w:val="24"/>
          <w:szCs w:val="24"/>
          <w:color w:val="auto"/>
        </w:rPr>
        <w:t>Lone Star Chapter of the Sierra Club</w:t>
      </w:r>
    </w:p>
    <w:p>
      <w:pPr>
        <w:spacing w:after="0" w:line="1" w:lineRule="exact"/>
        <w:rPr>
          <w:sz w:val="20"/>
          <w:szCs w:val="20"/>
          <w:color w:val="auto"/>
        </w:rPr>
      </w:pPr>
    </w:p>
    <w:p>
      <w:pPr>
        <w:ind w:left="2160"/>
        <w:spacing w:after="0"/>
        <w:rPr>
          <w:sz w:val="20"/>
          <w:szCs w:val="20"/>
          <w:color w:val="auto"/>
        </w:rPr>
      </w:pPr>
      <w:r>
        <w:rPr>
          <w:rFonts w:ascii="Arial Narrow" w:cs="Arial Narrow" w:eastAsia="Arial Narrow" w:hAnsi="Arial Narrow"/>
          <w:sz w:val="24"/>
          <w:szCs w:val="24"/>
          <w:color w:val="auto"/>
        </w:rPr>
        <w:t>Medina County Environmental Action, Medina County</w:t>
      </w:r>
    </w:p>
    <w:p>
      <w:pPr>
        <w:ind w:left="2160"/>
        <w:spacing w:after="0" w:line="238" w:lineRule="auto"/>
        <w:rPr>
          <w:sz w:val="20"/>
          <w:szCs w:val="20"/>
          <w:color w:val="auto"/>
        </w:rPr>
      </w:pPr>
      <w:r>
        <w:rPr>
          <w:rFonts w:ascii="Arial Narrow" w:cs="Arial Narrow" w:eastAsia="Arial Narrow" w:hAnsi="Arial Narrow"/>
          <w:sz w:val="24"/>
          <w:szCs w:val="24"/>
          <w:color w:val="auto"/>
        </w:rPr>
        <w:t>Native Plant Society of Texas – SA, Bexar County</w:t>
      </w:r>
    </w:p>
    <w:p>
      <w:pPr>
        <w:spacing w:after="0" w:line="1" w:lineRule="exact"/>
        <w:rPr>
          <w:sz w:val="20"/>
          <w:szCs w:val="20"/>
          <w:color w:val="auto"/>
        </w:rPr>
      </w:pPr>
    </w:p>
    <w:p>
      <w:pPr>
        <w:ind w:left="2160"/>
        <w:spacing w:after="0"/>
        <w:rPr>
          <w:sz w:val="20"/>
          <w:szCs w:val="20"/>
          <w:color w:val="auto"/>
        </w:rPr>
      </w:pPr>
      <w:r>
        <w:rPr>
          <w:rFonts w:ascii="Arial Narrow" w:cs="Arial Narrow" w:eastAsia="Arial Narrow" w:hAnsi="Arial Narrow"/>
          <w:sz w:val="24"/>
          <w:szCs w:val="24"/>
          <w:color w:val="auto"/>
        </w:rPr>
        <w:t>Northwest Interstate Coalition of Neighborhoods, Bexar County</w:t>
      </w:r>
    </w:p>
    <w:p>
      <w:pPr>
        <w:spacing w:after="0" w:line="1" w:lineRule="exact"/>
        <w:rPr>
          <w:sz w:val="20"/>
          <w:szCs w:val="20"/>
          <w:color w:val="auto"/>
        </w:rPr>
      </w:pPr>
    </w:p>
    <w:p>
      <w:pPr>
        <w:ind w:left="2160"/>
        <w:spacing w:after="0"/>
        <w:rPr>
          <w:sz w:val="20"/>
          <w:szCs w:val="20"/>
          <w:color w:val="auto"/>
        </w:rPr>
      </w:pPr>
      <w:r>
        <w:rPr>
          <w:rFonts w:ascii="Arial Narrow" w:cs="Arial Narrow" w:eastAsia="Arial Narrow" w:hAnsi="Arial Narrow"/>
          <w:sz w:val="24"/>
          <w:szCs w:val="24"/>
          <w:color w:val="auto"/>
        </w:rPr>
        <w:t>Preserve Castroville, Medina County</w:t>
      </w:r>
    </w:p>
    <w:p>
      <w:pPr>
        <w:spacing w:after="0" w:line="1" w:lineRule="exact"/>
        <w:rPr>
          <w:sz w:val="20"/>
          <w:szCs w:val="20"/>
          <w:color w:val="auto"/>
        </w:rPr>
      </w:pPr>
    </w:p>
    <w:p>
      <w:pPr>
        <w:ind w:left="2160" w:right="2440"/>
        <w:spacing w:after="0" w:line="239" w:lineRule="auto"/>
        <w:rPr>
          <w:sz w:val="20"/>
          <w:szCs w:val="20"/>
          <w:color w:val="auto"/>
        </w:rPr>
      </w:pPr>
      <w:r>
        <w:rPr>
          <w:rFonts w:ascii="Arial Narrow" w:cs="Arial Narrow" w:eastAsia="Arial Narrow" w:hAnsi="Arial Narrow"/>
          <w:sz w:val="24"/>
          <w:szCs w:val="24"/>
          <w:color w:val="auto"/>
        </w:rPr>
        <w:t>Preserve Lake Dunlap Association, Guadalupe County San Antonio Audubon Society, Bexar County</w:t>
      </w:r>
    </w:p>
    <w:p>
      <w:pPr>
        <w:spacing w:after="0" w:line="1" w:lineRule="exact"/>
        <w:rPr>
          <w:sz w:val="20"/>
          <w:szCs w:val="20"/>
          <w:color w:val="auto"/>
        </w:rPr>
      </w:pPr>
    </w:p>
    <w:p>
      <w:pPr>
        <w:ind w:left="2160"/>
        <w:spacing w:after="0"/>
        <w:rPr>
          <w:sz w:val="20"/>
          <w:szCs w:val="20"/>
          <w:color w:val="auto"/>
        </w:rPr>
      </w:pPr>
      <w:r>
        <w:rPr>
          <w:rFonts w:ascii="Arial Narrow" w:cs="Arial Narrow" w:eastAsia="Arial Narrow" w:hAnsi="Arial Narrow"/>
          <w:sz w:val="24"/>
          <w:szCs w:val="24"/>
          <w:color w:val="auto"/>
        </w:rPr>
        <w:t>San Antonio Conservation Society, Bexar County</w:t>
      </w:r>
    </w:p>
    <w:p>
      <w:pPr>
        <w:spacing w:after="0" w:line="1" w:lineRule="exact"/>
        <w:rPr>
          <w:sz w:val="20"/>
          <w:szCs w:val="20"/>
          <w:color w:val="auto"/>
        </w:rPr>
      </w:pPr>
    </w:p>
    <w:p>
      <w:pPr>
        <w:ind w:left="2160"/>
        <w:spacing w:after="0"/>
        <w:rPr>
          <w:sz w:val="20"/>
          <w:szCs w:val="20"/>
          <w:color w:val="auto"/>
        </w:rPr>
      </w:pPr>
      <w:r>
        <w:rPr>
          <w:rFonts w:ascii="Arial Narrow" w:cs="Arial Narrow" w:eastAsia="Arial Narrow" w:hAnsi="Arial Narrow"/>
          <w:sz w:val="24"/>
          <w:szCs w:val="24"/>
          <w:color w:val="auto"/>
        </w:rPr>
        <w:t>San Geronimo Valley Alliance, Medina County</w:t>
      </w:r>
    </w:p>
    <w:p>
      <w:pPr>
        <w:spacing w:after="0" w:line="1" w:lineRule="exact"/>
        <w:rPr>
          <w:sz w:val="20"/>
          <w:szCs w:val="20"/>
          <w:color w:val="auto"/>
        </w:rPr>
      </w:pPr>
    </w:p>
    <w:p>
      <w:pPr>
        <w:ind w:left="2160"/>
        <w:spacing w:after="0"/>
        <w:rPr>
          <w:sz w:val="20"/>
          <w:szCs w:val="20"/>
          <w:color w:val="auto"/>
        </w:rPr>
      </w:pPr>
      <w:r>
        <w:rPr>
          <w:rFonts w:ascii="Arial Narrow" w:cs="Arial Narrow" w:eastAsia="Arial Narrow" w:hAnsi="Arial Narrow"/>
          <w:sz w:val="24"/>
          <w:szCs w:val="24"/>
          <w:color w:val="auto"/>
        </w:rPr>
        <w:t>San Marcos Greenbelt Alliance. Hays County</w:t>
      </w:r>
    </w:p>
    <w:p>
      <w:pPr>
        <w:ind w:left="2160"/>
        <w:spacing w:after="0" w:line="238" w:lineRule="auto"/>
        <w:rPr>
          <w:sz w:val="20"/>
          <w:szCs w:val="20"/>
          <w:color w:val="auto"/>
        </w:rPr>
      </w:pPr>
      <w:r>
        <w:rPr>
          <w:rFonts w:ascii="Arial Narrow" w:cs="Arial Narrow" w:eastAsia="Arial Narrow" w:hAnsi="Arial Narrow"/>
          <w:sz w:val="24"/>
          <w:szCs w:val="24"/>
          <w:color w:val="auto"/>
        </w:rPr>
        <w:t>San Marcos River Foundation, Hays County</w:t>
      </w:r>
    </w:p>
    <w:p>
      <w:pPr>
        <w:spacing w:after="0" w:line="1" w:lineRule="exact"/>
        <w:rPr>
          <w:sz w:val="20"/>
          <w:szCs w:val="20"/>
          <w:color w:val="auto"/>
        </w:rPr>
      </w:pPr>
    </w:p>
    <w:p>
      <w:pPr>
        <w:ind w:left="2160"/>
        <w:spacing w:after="0"/>
        <w:rPr>
          <w:sz w:val="20"/>
          <w:szCs w:val="20"/>
          <w:color w:val="auto"/>
        </w:rPr>
      </w:pPr>
      <w:r>
        <w:rPr>
          <w:rFonts w:ascii="Arial Narrow" w:cs="Arial Narrow" w:eastAsia="Arial Narrow" w:hAnsi="Arial Narrow"/>
          <w:sz w:val="24"/>
          <w:szCs w:val="24"/>
          <w:color w:val="auto"/>
        </w:rPr>
        <w:t>Save Barton Creek Association, Travis County</w:t>
      </w:r>
    </w:p>
    <w:p>
      <w:pPr>
        <w:spacing w:after="0" w:line="1" w:lineRule="exact"/>
        <w:rPr>
          <w:sz w:val="20"/>
          <w:szCs w:val="20"/>
          <w:color w:val="auto"/>
        </w:rPr>
      </w:pPr>
    </w:p>
    <w:p>
      <w:pPr>
        <w:ind w:left="2160"/>
        <w:spacing w:after="0"/>
        <w:rPr>
          <w:sz w:val="20"/>
          <w:szCs w:val="20"/>
          <w:color w:val="auto"/>
        </w:rPr>
      </w:pPr>
      <w:r>
        <w:rPr>
          <w:rFonts w:ascii="Arial Narrow" w:cs="Arial Narrow" w:eastAsia="Arial Narrow" w:hAnsi="Arial Narrow"/>
          <w:sz w:val="24"/>
          <w:szCs w:val="24"/>
          <w:color w:val="auto"/>
        </w:rPr>
        <w:t>Save Our Springs Alliance, Travis County</w:t>
      </w:r>
    </w:p>
    <w:p>
      <w:pPr>
        <w:spacing w:after="0" w:line="1" w:lineRule="exact"/>
        <w:rPr>
          <w:sz w:val="20"/>
          <w:szCs w:val="20"/>
          <w:color w:val="auto"/>
        </w:rPr>
      </w:pPr>
    </w:p>
    <w:p>
      <w:pPr>
        <w:ind w:left="2160"/>
        <w:spacing w:after="0"/>
        <w:rPr>
          <w:sz w:val="20"/>
          <w:szCs w:val="20"/>
          <w:color w:val="auto"/>
        </w:rPr>
      </w:pPr>
      <w:r>
        <w:rPr>
          <w:rFonts w:ascii="Arial Narrow" w:cs="Arial Narrow" w:eastAsia="Arial Narrow" w:hAnsi="Arial Narrow"/>
          <w:sz w:val="24"/>
          <w:szCs w:val="24"/>
          <w:color w:val="auto"/>
        </w:rPr>
        <w:t>Scenic Loop/Boerne Stage Alliance, Bexar County</w:t>
      </w:r>
    </w:p>
    <w:p>
      <w:pPr>
        <w:ind w:left="2160"/>
        <w:spacing w:after="0" w:line="238" w:lineRule="auto"/>
        <w:rPr>
          <w:sz w:val="20"/>
          <w:szCs w:val="20"/>
          <w:color w:val="auto"/>
        </w:rPr>
      </w:pPr>
      <w:r>
        <w:rPr>
          <w:rFonts w:ascii="Arial Narrow" w:cs="Arial Narrow" w:eastAsia="Arial Narrow" w:hAnsi="Arial Narrow"/>
          <w:sz w:val="24"/>
          <w:szCs w:val="24"/>
          <w:color w:val="auto"/>
        </w:rPr>
        <w:t>Securing a Future Environment, Comal County</w:t>
      </w:r>
    </w:p>
    <w:p>
      <w:pPr>
        <w:spacing w:after="0" w:line="1" w:lineRule="exact"/>
        <w:rPr>
          <w:sz w:val="20"/>
          <w:szCs w:val="20"/>
          <w:color w:val="auto"/>
        </w:rPr>
      </w:pPr>
    </w:p>
    <w:p>
      <w:pPr>
        <w:ind w:left="2160"/>
        <w:spacing w:after="0"/>
        <w:rPr>
          <w:sz w:val="20"/>
          <w:szCs w:val="20"/>
          <w:color w:val="auto"/>
        </w:rPr>
      </w:pPr>
      <w:r>
        <w:rPr>
          <w:rFonts w:ascii="Arial Narrow" w:cs="Arial Narrow" w:eastAsia="Arial Narrow" w:hAnsi="Arial Narrow"/>
          <w:sz w:val="24"/>
          <w:szCs w:val="24"/>
          <w:color w:val="auto"/>
        </w:rPr>
        <w:t>SEED Coalition</w:t>
      </w:r>
    </w:p>
    <w:p>
      <w:pPr>
        <w:spacing w:after="0" w:line="1" w:lineRule="exact"/>
        <w:rPr>
          <w:sz w:val="20"/>
          <w:szCs w:val="20"/>
          <w:color w:val="auto"/>
        </w:rPr>
      </w:pPr>
    </w:p>
    <w:p>
      <w:pPr>
        <w:ind w:left="2160"/>
        <w:spacing w:after="0"/>
        <w:rPr>
          <w:sz w:val="20"/>
          <w:szCs w:val="20"/>
          <w:color w:val="auto"/>
        </w:rPr>
      </w:pPr>
      <w:r>
        <w:rPr>
          <w:rFonts w:ascii="Arial Narrow" w:cs="Arial Narrow" w:eastAsia="Arial Narrow" w:hAnsi="Arial Narrow"/>
          <w:sz w:val="24"/>
          <w:szCs w:val="24"/>
          <w:color w:val="auto"/>
        </w:rPr>
        <w:t>Solar San Antonio, Bexar County</w:t>
      </w:r>
    </w:p>
    <w:p>
      <w:pPr>
        <w:spacing w:after="0" w:line="1" w:lineRule="exact"/>
        <w:rPr>
          <w:sz w:val="20"/>
          <w:szCs w:val="20"/>
          <w:color w:val="auto"/>
        </w:rPr>
      </w:pPr>
    </w:p>
    <w:p>
      <w:pPr>
        <w:ind w:left="2160"/>
        <w:spacing w:after="0"/>
        <w:rPr>
          <w:sz w:val="20"/>
          <w:szCs w:val="20"/>
          <w:color w:val="auto"/>
        </w:rPr>
      </w:pPr>
      <w:r>
        <w:rPr>
          <w:rFonts w:ascii="Arial Narrow" w:cs="Arial Narrow" w:eastAsia="Arial Narrow" w:hAnsi="Arial Narrow"/>
          <w:sz w:val="24"/>
          <w:szCs w:val="24"/>
          <w:color w:val="auto"/>
        </w:rPr>
        <w:t>Sisters of the Divine Providence, Bexar County</w:t>
      </w:r>
    </w:p>
    <w:p>
      <w:pPr>
        <w:ind w:left="2160"/>
        <w:spacing w:after="0" w:line="238" w:lineRule="auto"/>
        <w:rPr>
          <w:sz w:val="20"/>
          <w:szCs w:val="20"/>
          <w:color w:val="auto"/>
        </w:rPr>
      </w:pPr>
      <w:r>
        <w:rPr>
          <w:rFonts w:ascii="Arial Narrow" w:cs="Arial Narrow" w:eastAsia="Arial Narrow" w:hAnsi="Arial Narrow"/>
          <w:sz w:val="24"/>
          <w:szCs w:val="24"/>
          <w:color w:val="auto"/>
        </w:rPr>
        <w:t>Travis County Green Party, Travis County</w:t>
      </w:r>
    </w:p>
    <w:p>
      <w:pPr>
        <w:spacing w:after="0" w:line="1" w:lineRule="exact"/>
        <w:rPr>
          <w:sz w:val="20"/>
          <w:szCs w:val="20"/>
          <w:color w:val="auto"/>
        </w:rPr>
      </w:pPr>
    </w:p>
    <w:p>
      <w:pPr>
        <w:ind w:left="2160"/>
        <w:spacing w:after="0"/>
        <w:rPr>
          <w:sz w:val="20"/>
          <w:szCs w:val="20"/>
          <w:color w:val="auto"/>
        </w:rPr>
      </w:pPr>
      <w:r>
        <w:rPr>
          <w:rFonts w:ascii="Arial Narrow" w:cs="Arial Narrow" w:eastAsia="Arial Narrow" w:hAnsi="Arial Narrow"/>
          <w:sz w:val="24"/>
          <w:szCs w:val="24"/>
          <w:color w:val="auto"/>
        </w:rPr>
        <w:t>Water Aid – Texas State University, Hays County</w:t>
      </w:r>
    </w:p>
    <w:p>
      <w:pPr>
        <w:spacing w:after="0" w:line="1" w:lineRule="exact"/>
        <w:rPr>
          <w:sz w:val="20"/>
          <w:szCs w:val="20"/>
          <w:color w:val="auto"/>
        </w:rPr>
      </w:pPr>
    </w:p>
    <w:p>
      <w:pPr>
        <w:ind w:left="2160"/>
        <w:spacing w:after="0"/>
        <w:rPr>
          <w:sz w:val="20"/>
          <w:szCs w:val="20"/>
          <w:color w:val="auto"/>
        </w:rPr>
      </w:pPr>
      <w:r>
        <w:rPr>
          <w:rFonts w:ascii="Arial Narrow" w:cs="Arial Narrow" w:eastAsia="Arial Narrow" w:hAnsi="Arial Narrow"/>
          <w:sz w:val="24"/>
          <w:szCs w:val="24"/>
          <w:color w:val="auto"/>
        </w:rPr>
        <w:t>West Texas Springs Alliance, Valverde County</w:t>
      </w:r>
    </w:p>
    <w:p>
      <w:pPr>
        <w:spacing w:after="0" w:line="1" w:lineRule="exact"/>
        <w:rPr>
          <w:sz w:val="20"/>
          <w:szCs w:val="20"/>
          <w:color w:val="auto"/>
        </w:rPr>
      </w:pPr>
    </w:p>
    <w:p>
      <w:pPr>
        <w:ind w:left="2160"/>
        <w:spacing w:after="0"/>
        <w:rPr>
          <w:sz w:val="20"/>
          <w:szCs w:val="20"/>
          <w:color w:val="auto"/>
        </w:rPr>
      </w:pPr>
      <w:r>
        <w:rPr>
          <w:rFonts w:ascii="Arial Narrow" w:cs="Arial Narrow" w:eastAsia="Arial Narrow" w:hAnsi="Arial Narrow"/>
          <w:sz w:val="24"/>
          <w:szCs w:val="24"/>
          <w:color w:val="auto"/>
        </w:rPr>
        <w:t>Wildlife Rescue &amp; Rehabilitation</w:t>
      </w:r>
    </w:p>
    <w:p>
      <w:pPr>
        <w:spacing w:after="0" w:line="1" w:lineRule="exact"/>
        <w:rPr>
          <w:sz w:val="20"/>
          <w:szCs w:val="20"/>
          <w:color w:val="auto"/>
        </w:rPr>
      </w:pPr>
    </w:p>
    <w:p>
      <w:pPr>
        <w:jc w:val="center"/>
        <w:ind w:right="220"/>
        <w:spacing w:after="0"/>
        <w:rPr>
          <w:sz w:val="20"/>
          <w:szCs w:val="20"/>
          <w:color w:val="auto"/>
        </w:rPr>
      </w:pPr>
      <w:r>
        <w:rPr>
          <w:rFonts w:ascii="Arial Narrow" w:cs="Arial Narrow" w:eastAsia="Arial Narrow" w:hAnsi="Arial Narrow"/>
          <w:sz w:val="23"/>
          <w:szCs w:val="23"/>
          <w:color w:val="auto"/>
        </w:rPr>
        <w:t>Wimberley Valley Watershed Association, Hays County</w:t>
      </w:r>
    </w:p>
    <w:p>
      <w:pPr>
        <w:sectPr>
          <w:pgSz w:w="12240" w:h="15840" w:orient="portrait"/>
          <w:cols w:equalWidth="0" w:num="1">
            <w:col w:w="9360"/>
          </w:cols>
          <w:pgMar w:left="1440" w:top="1397" w:right="1440" w:bottom="1440" w:gutter="0" w:footer="0" w:header="0"/>
        </w:sectPr>
      </w:pPr>
    </w:p>
    <w:bookmarkStart w:id="2" w:name="page3"/>
    <w:bookmarkEnd w:id="2"/>
    <w:p>
      <w:pPr>
        <w:jc w:val="right"/>
        <w:ind w:right="40"/>
        <w:spacing w:after="0"/>
        <w:rPr>
          <w:sz w:val="20"/>
          <w:szCs w:val="20"/>
          <w:color w:val="auto"/>
        </w:rPr>
      </w:pPr>
      <w:r>
        <w:rPr>
          <w:rFonts w:ascii="Times New Roman" w:cs="Times New Roman" w:eastAsia="Times New Roman" w:hAnsi="Times New Roman"/>
          <w:sz w:val="24"/>
          <w:szCs w:val="24"/>
          <w:b w:val="1"/>
          <w:bCs w:val="1"/>
          <w:i w:val="1"/>
          <w:iCs w:val="1"/>
          <w:color w:val="264D9A"/>
        </w:rPr>
        <w:drawing>
          <wp:anchor simplePos="0" relativeHeight="251657728" behindDoc="1" locked="0" layoutInCell="0" allowOverlap="1">
            <wp:simplePos x="0" y="0"/>
            <wp:positionH relativeFrom="page">
              <wp:posOffset>866140</wp:posOffset>
            </wp:positionH>
            <wp:positionV relativeFrom="page">
              <wp:posOffset>226695</wp:posOffset>
            </wp:positionV>
            <wp:extent cx="1129030" cy="121539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clrChange>
                        <a:clrFrom>
                          <a:srgbClr val="FFFFFF"/>
                        </a:clrFrom>
                        <a:clrTo>
                          <a:srgbClr val="FFFFFF">
                            <a:alpha val="0"/>
                          </a:srgbClr>
                        </a:clrTo>
                      </a:clrChange>
                      <a:extLst>
                        <a:ext uri="{28A0092B-C50C-407E-A947-70E740481C1C}"/>
                      </a:extLst>
                    </a:blip>
                    <a:srcRect/>
                    <a:stretch>
                      <a:fillRect/>
                    </a:stretch>
                  </pic:blipFill>
                  <pic:spPr bwMode="auto">
                    <a:xfrm>
                      <a:off x="0" y="0"/>
                      <a:ext cx="1129030" cy="1215390"/>
                    </a:xfrm>
                    <a:prstGeom prst="rect">
                      <a:avLst/>
                    </a:prstGeom>
                    <a:noFill/>
                  </pic:spPr>
                </pic:pic>
              </a:graphicData>
            </a:graphic>
          </wp:anchor>
        </w:drawing>
        <w:t>1405 Hillmont Street</w:t>
      </w:r>
    </w:p>
    <w:p>
      <w:pPr>
        <w:jc w:val="right"/>
        <w:ind w:right="40"/>
        <w:spacing w:after="0"/>
        <w:rPr>
          <w:sz w:val="20"/>
          <w:szCs w:val="20"/>
          <w:color w:val="auto"/>
        </w:rPr>
      </w:pPr>
      <w:r>
        <w:rPr>
          <w:rFonts w:ascii="Times New Roman" w:cs="Times New Roman" w:eastAsia="Times New Roman" w:hAnsi="Times New Roman"/>
          <w:sz w:val="24"/>
          <w:szCs w:val="24"/>
          <w:b w:val="1"/>
          <w:bCs w:val="1"/>
          <w:i w:val="1"/>
          <w:iCs w:val="1"/>
          <w:color w:val="264D9A"/>
        </w:rPr>
        <w:t>Austin, Texas 78704</w:t>
      </w:r>
    </w:p>
    <w:p>
      <w:pPr>
        <w:jc w:val="right"/>
        <w:ind w:right="40"/>
        <w:spacing w:after="0"/>
        <w:rPr>
          <w:sz w:val="20"/>
          <w:szCs w:val="20"/>
          <w:color w:val="auto"/>
        </w:rPr>
      </w:pPr>
      <w:r>
        <w:rPr>
          <w:rFonts w:ascii="Times New Roman" w:cs="Times New Roman" w:eastAsia="Times New Roman" w:hAnsi="Times New Roman"/>
          <w:sz w:val="24"/>
          <w:szCs w:val="24"/>
          <w:b w:val="1"/>
          <w:bCs w:val="1"/>
          <w:i w:val="1"/>
          <w:iCs w:val="1"/>
          <w:color w:val="264D9A"/>
        </w:rPr>
        <w:t>Phone: 512-326-8880</w:t>
      </w:r>
    </w:p>
    <w:p>
      <w:pPr>
        <w:jc w:val="right"/>
        <w:ind w:right="40"/>
        <w:spacing w:after="0"/>
        <w:rPr>
          <w:sz w:val="20"/>
          <w:szCs w:val="20"/>
          <w:color w:val="auto"/>
        </w:rPr>
      </w:pPr>
      <w:r>
        <w:rPr>
          <w:rFonts w:ascii="Times New Roman" w:cs="Times New Roman" w:eastAsia="Times New Roman" w:hAnsi="Times New Roman"/>
          <w:sz w:val="24"/>
          <w:szCs w:val="24"/>
          <w:b w:val="1"/>
          <w:bCs w:val="1"/>
          <w:i w:val="1"/>
          <w:iCs w:val="1"/>
          <w:color w:val="264D9A"/>
        </w:rPr>
        <w:t>e-mail: lauren@glenrose.com</w:t>
      </w:r>
    </w:p>
    <w:p>
      <w:pPr>
        <w:spacing w:after="0" w:line="200" w:lineRule="exact"/>
        <w:rPr>
          <w:sz w:val="20"/>
          <w:szCs w:val="20"/>
          <w:color w:val="auto"/>
        </w:rPr>
      </w:pPr>
    </w:p>
    <w:p>
      <w:pPr>
        <w:spacing w:after="0" w:line="200" w:lineRule="exact"/>
        <w:rPr>
          <w:sz w:val="20"/>
          <w:szCs w:val="20"/>
          <w:color w:val="auto"/>
        </w:rPr>
      </w:pPr>
    </w:p>
    <w:p>
      <w:pPr>
        <w:spacing w:after="0" w:line="324" w:lineRule="exact"/>
        <w:rPr>
          <w:sz w:val="20"/>
          <w:szCs w:val="20"/>
          <w:color w:val="auto"/>
        </w:rPr>
      </w:pPr>
    </w:p>
    <w:p>
      <w:pPr>
        <w:ind w:left="20"/>
        <w:spacing w:after="0"/>
        <w:rPr>
          <w:sz w:val="20"/>
          <w:szCs w:val="20"/>
          <w:color w:val="auto"/>
        </w:rPr>
      </w:pPr>
      <w:r>
        <w:rPr>
          <w:rFonts w:ascii="Cambria" w:cs="Cambria" w:eastAsia="Cambria" w:hAnsi="Cambria"/>
          <w:sz w:val="24"/>
          <w:szCs w:val="24"/>
          <w:color w:val="auto"/>
        </w:rPr>
        <w:t>July 26, 2019</w:t>
      </w:r>
    </w:p>
    <w:p>
      <w:pPr>
        <w:spacing w:after="0" w:line="280" w:lineRule="exact"/>
        <w:rPr>
          <w:sz w:val="20"/>
          <w:szCs w:val="20"/>
          <w:color w:val="auto"/>
        </w:rPr>
      </w:pPr>
    </w:p>
    <w:p>
      <w:pPr>
        <w:ind w:left="20"/>
        <w:spacing w:after="0"/>
        <w:rPr>
          <w:sz w:val="20"/>
          <w:szCs w:val="20"/>
          <w:color w:val="auto"/>
        </w:rPr>
      </w:pPr>
      <w:r>
        <w:rPr>
          <w:rFonts w:ascii="Cambria" w:cs="Cambria" w:eastAsia="Cambria" w:hAnsi="Cambria"/>
          <w:sz w:val="24"/>
          <w:szCs w:val="24"/>
          <w:color w:val="auto"/>
        </w:rPr>
        <w:t>Ms. Kris Hogan</w:t>
      </w:r>
    </w:p>
    <w:p>
      <w:pPr>
        <w:spacing w:after="0" w:line="2" w:lineRule="exact"/>
        <w:rPr>
          <w:sz w:val="20"/>
          <w:szCs w:val="20"/>
          <w:color w:val="auto"/>
        </w:rPr>
      </w:pPr>
    </w:p>
    <w:p>
      <w:pPr>
        <w:ind w:left="20"/>
        <w:spacing w:after="0"/>
        <w:rPr>
          <w:sz w:val="20"/>
          <w:szCs w:val="20"/>
          <w:color w:val="auto"/>
        </w:rPr>
      </w:pPr>
      <w:r>
        <w:rPr>
          <w:rFonts w:ascii="Cambria" w:cs="Cambria" w:eastAsia="Cambria" w:hAnsi="Cambria"/>
          <w:sz w:val="24"/>
          <w:szCs w:val="24"/>
          <w:color w:val="auto"/>
        </w:rPr>
        <w:t>MC 205, Office of Legal Services</w:t>
      </w:r>
    </w:p>
    <w:p>
      <w:pPr>
        <w:ind w:left="20"/>
        <w:spacing w:after="0"/>
        <w:rPr>
          <w:sz w:val="20"/>
          <w:szCs w:val="20"/>
          <w:color w:val="auto"/>
        </w:rPr>
      </w:pPr>
      <w:r>
        <w:rPr>
          <w:rFonts w:ascii="Cambria" w:cs="Cambria" w:eastAsia="Cambria" w:hAnsi="Cambria"/>
          <w:sz w:val="24"/>
          <w:szCs w:val="24"/>
          <w:color w:val="auto"/>
        </w:rPr>
        <w:t>Texas Commission on Environmental Quality</w:t>
      </w:r>
    </w:p>
    <w:p>
      <w:pPr>
        <w:ind w:left="20"/>
        <w:spacing w:after="0" w:line="239" w:lineRule="auto"/>
        <w:rPr>
          <w:sz w:val="20"/>
          <w:szCs w:val="20"/>
          <w:color w:val="auto"/>
        </w:rPr>
      </w:pPr>
      <w:r>
        <w:rPr>
          <w:rFonts w:ascii="Cambria" w:cs="Cambria" w:eastAsia="Cambria" w:hAnsi="Cambria"/>
          <w:sz w:val="24"/>
          <w:szCs w:val="24"/>
          <w:color w:val="auto"/>
        </w:rPr>
        <w:t>P.O. Box 13087</w:t>
      </w:r>
    </w:p>
    <w:p>
      <w:pPr>
        <w:ind w:left="20"/>
        <w:spacing w:after="0"/>
        <w:rPr>
          <w:sz w:val="20"/>
          <w:szCs w:val="20"/>
          <w:color w:val="auto"/>
        </w:rPr>
      </w:pPr>
      <w:r>
        <w:rPr>
          <w:rFonts w:ascii="Cambria" w:cs="Cambria" w:eastAsia="Cambria" w:hAnsi="Cambria"/>
          <w:sz w:val="24"/>
          <w:szCs w:val="24"/>
          <w:color w:val="auto"/>
        </w:rPr>
        <w:t>Austin, Texas 78711-3087</w:t>
      </w:r>
    </w:p>
    <w:p>
      <w:pPr>
        <w:spacing w:after="0" w:line="284" w:lineRule="exact"/>
        <w:rPr>
          <w:sz w:val="20"/>
          <w:szCs w:val="20"/>
          <w:color w:val="auto"/>
        </w:rPr>
      </w:pPr>
    </w:p>
    <w:p>
      <w:pPr>
        <w:ind w:left="1020" w:right="320" w:hanging="990"/>
        <w:spacing w:after="0" w:line="259" w:lineRule="auto"/>
        <w:rPr>
          <w:sz w:val="20"/>
          <w:szCs w:val="20"/>
          <w:color w:val="auto"/>
        </w:rPr>
      </w:pPr>
      <w:r>
        <w:rPr>
          <w:rFonts w:ascii="Cambria" w:cs="Cambria" w:eastAsia="Cambria" w:hAnsi="Cambria"/>
          <w:sz w:val="23"/>
          <w:szCs w:val="23"/>
          <w:b w:val="1"/>
          <w:bCs w:val="1"/>
          <w:color w:val="auto"/>
        </w:rPr>
        <w:t>Subject: Rule Project Number 2016-042-309-OW: Proposed rule-making to allow beneficial reuse to partially substitute for TLAP wastewater disposal area</w:t>
      </w:r>
    </w:p>
    <w:p>
      <w:pPr>
        <w:spacing w:after="0" w:line="218" w:lineRule="exact"/>
        <w:rPr>
          <w:sz w:val="20"/>
          <w:szCs w:val="20"/>
          <w:color w:val="auto"/>
        </w:rPr>
      </w:pPr>
    </w:p>
    <w:p>
      <w:pPr>
        <w:ind w:left="20"/>
        <w:spacing w:after="0"/>
        <w:rPr>
          <w:sz w:val="20"/>
          <w:szCs w:val="20"/>
          <w:color w:val="auto"/>
        </w:rPr>
      </w:pPr>
      <w:r>
        <w:rPr>
          <w:rFonts w:ascii="Cambria" w:cs="Cambria" w:eastAsia="Cambria" w:hAnsi="Cambria"/>
          <w:sz w:val="24"/>
          <w:szCs w:val="24"/>
          <w:color w:val="auto"/>
        </w:rPr>
        <w:t>Dear Ms. Hogan:</w:t>
      </w:r>
    </w:p>
    <w:p>
      <w:pPr>
        <w:spacing w:after="0" w:line="382" w:lineRule="exact"/>
        <w:rPr>
          <w:sz w:val="20"/>
          <w:szCs w:val="20"/>
          <w:color w:val="auto"/>
        </w:rPr>
      </w:pPr>
    </w:p>
    <w:p>
      <w:pPr>
        <w:ind w:left="20" w:right="740"/>
        <w:spacing w:after="0" w:line="359" w:lineRule="auto"/>
        <w:rPr>
          <w:sz w:val="20"/>
          <w:szCs w:val="20"/>
          <w:color w:val="auto"/>
        </w:rPr>
      </w:pPr>
      <w:r>
        <w:rPr>
          <w:rFonts w:ascii="Cambria" w:cs="Cambria" w:eastAsia="Cambria" w:hAnsi="Cambria"/>
          <w:sz w:val="24"/>
          <w:szCs w:val="24"/>
          <w:color w:val="auto"/>
        </w:rPr>
        <w:t>I am writing, on behalf of the Greater Edwards Aquifer Alliance and Save Our Springs Alliance to support the proposed rule-making to allow beneficial reuse to partially substitute for TLAP wastewater disposal area.</w:t>
      </w:r>
    </w:p>
    <w:p>
      <w:pPr>
        <w:spacing w:after="0" w:line="245" w:lineRule="exact"/>
        <w:rPr>
          <w:sz w:val="20"/>
          <w:szCs w:val="20"/>
          <w:color w:val="auto"/>
        </w:rPr>
      </w:pPr>
    </w:p>
    <w:p>
      <w:pPr>
        <w:ind w:left="20" w:right="260"/>
        <w:spacing w:after="0" w:line="359" w:lineRule="auto"/>
        <w:rPr>
          <w:sz w:val="20"/>
          <w:szCs w:val="20"/>
          <w:color w:val="auto"/>
        </w:rPr>
      </w:pPr>
      <w:r>
        <w:rPr>
          <w:rFonts w:ascii="Cambria" w:cs="Cambria" w:eastAsia="Cambria" w:hAnsi="Cambria"/>
          <w:sz w:val="24"/>
          <w:szCs w:val="24"/>
          <w:color w:val="auto"/>
        </w:rPr>
        <w:t>I am well-qualified to offer these opinions on the proposed rules. I have a Bachelor of Science, a Master of Science, and a Doctor of Philosophy degrees in civil engineering, each with a focus on water resources and environmental engineering. I also have forty years of experience in environmental engineering and have provided expert opinions regarding nine permit applications under the Texas Land Application Permit (TLAP) process. I am licensed to practice engineering by the State of Texas.</w:t>
      </w:r>
    </w:p>
    <w:p>
      <w:pPr>
        <w:spacing w:after="0" w:line="247" w:lineRule="exact"/>
        <w:rPr>
          <w:sz w:val="20"/>
          <w:szCs w:val="20"/>
          <w:color w:val="auto"/>
        </w:rPr>
      </w:pPr>
    </w:p>
    <w:p>
      <w:pPr>
        <w:ind w:left="20" w:right="120"/>
        <w:spacing w:after="0" w:line="359" w:lineRule="auto"/>
        <w:rPr>
          <w:sz w:val="20"/>
          <w:szCs w:val="20"/>
          <w:color w:val="auto"/>
        </w:rPr>
      </w:pPr>
      <w:r>
        <w:rPr>
          <w:rFonts w:ascii="Cambria" w:cs="Cambria" w:eastAsia="Cambria" w:hAnsi="Cambria"/>
          <w:sz w:val="24"/>
          <w:szCs w:val="24"/>
          <w:color w:val="auto"/>
        </w:rPr>
        <w:t>As development rapidly expands across the Texas Hill Country, vast quantities of water are and will be imported from the Highland Lakes and eastern aquifers. Much of this imported water will be converted to sewage. Of the many threats to Texas Hill Country stream quality and Edwards Aquifer recharge, this sewage is the biggest.</w:t>
      </w:r>
    </w:p>
    <w:p>
      <w:pPr>
        <w:spacing w:after="0" w:line="244" w:lineRule="exact"/>
        <w:rPr>
          <w:sz w:val="20"/>
          <w:szCs w:val="20"/>
          <w:color w:val="auto"/>
        </w:rPr>
      </w:pPr>
    </w:p>
    <w:p>
      <w:pPr>
        <w:ind w:left="20" w:right="320"/>
        <w:spacing w:after="0" w:line="348" w:lineRule="auto"/>
        <w:rPr>
          <w:sz w:val="20"/>
          <w:szCs w:val="20"/>
          <w:color w:val="auto"/>
        </w:rPr>
      </w:pPr>
      <w:r>
        <w:rPr>
          <w:rFonts w:ascii="Cambria" w:cs="Cambria" w:eastAsia="Cambria" w:hAnsi="Cambria"/>
          <w:sz w:val="24"/>
          <w:szCs w:val="24"/>
          <w:color w:val="auto"/>
        </w:rPr>
        <w:t>Historically, treated sewage over the Edwards Aquifer recharge and much of the contributing zone has been irrigated onto golf courses, other developed landscapes, or natural areas. Even though land application systems for wastewater disposal are not perfect, they are significantly better for stream water quality than directly piping sewage effluent into streams.</w:t>
      </w:r>
    </w:p>
    <w:p>
      <w:pPr>
        <w:spacing w:after="0" w:line="2" w:lineRule="exact"/>
        <w:rPr>
          <w:sz w:val="20"/>
          <w:szCs w:val="20"/>
          <w:color w:val="auto"/>
        </w:rPr>
      </w:pPr>
    </w:p>
    <w:tbl>
      <w:tblPr>
        <w:tblLayout w:type="fixed"/>
        <w:tblInd w:w="0" w:type="dxa"/>
        <w:tblCellMar>
          <w:top w:w="0" w:type="dxa"/>
          <w:left w:w="0" w:type="dxa"/>
          <w:bottom w:w="0" w:type="dxa"/>
          <w:right w:w="0" w:type="dxa"/>
        </w:tblCellMar>
      </w:tblPr>
      <w:tr>
        <w:trPr>
          <w:trHeight w:val="69"/>
        </w:trPr>
        <w:tc>
          <w:tcPr>
            <w:tcW w:w="6560" w:type="dxa"/>
            <w:vAlign w:val="bottom"/>
            <w:tcBorders>
              <w:bottom w:val="single" w:sz="8" w:color="1F497D"/>
            </w:tcBorders>
            <w:shd w:val="clear" w:color="auto" w:fill="1F497D"/>
          </w:tcPr>
          <w:p>
            <w:pPr>
              <w:spacing w:after="0"/>
              <w:rPr>
                <w:sz w:val="5"/>
                <w:szCs w:val="5"/>
                <w:color w:val="auto"/>
              </w:rPr>
            </w:pPr>
          </w:p>
        </w:tc>
        <w:tc>
          <w:tcPr>
            <w:tcW w:w="2860" w:type="dxa"/>
            <w:vAlign w:val="bottom"/>
            <w:tcBorders>
              <w:bottom w:val="single" w:sz="8" w:color="1F497D"/>
            </w:tcBorders>
            <w:shd w:val="clear" w:color="auto" w:fill="1F497D"/>
          </w:tcPr>
          <w:p>
            <w:pPr>
              <w:spacing w:after="0"/>
              <w:rPr>
                <w:sz w:val="5"/>
                <w:szCs w:val="5"/>
                <w:color w:val="auto"/>
              </w:rPr>
            </w:pPr>
          </w:p>
        </w:tc>
      </w:tr>
      <w:tr>
        <w:trPr>
          <w:trHeight w:val="276"/>
        </w:trPr>
        <w:tc>
          <w:tcPr>
            <w:tcW w:w="6560" w:type="dxa"/>
            <w:vAlign w:val="bottom"/>
          </w:tcPr>
          <w:p>
            <w:pPr>
              <w:ind w:left="20"/>
              <w:spacing w:after="0"/>
              <w:rPr>
                <w:sz w:val="20"/>
                <w:szCs w:val="20"/>
                <w:color w:val="auto"/>
              </w:rPr>
            </w:pPr>
            <w:r>
              <w:rPr>
                <w:rFonts w:ascii="Cambria" w:cs="Cambria" w:eastAsia="Cambria" w:hAnsi="Cambria"/>
                <w:sz w:val="22"/>
                <w:szCs w:val="22"/>
                <w:i w:val="1"/>
                <w:iCs w:val="1"/>
                <w:color w:val="4D64AA"/>
              </w:rPr>
              <w:t>Glenrose Engineering, Inc.</w:t>
            </w:r>
          </w:p>
        </w:tc>
        <w:tc>
          <w:tcPr>
            <w:tcW w:w="2860" w:type="dxa"/>
            <w:vAlign w:val="bottom"/>
          </w:tcPr>
          <w:p>
            <w:pPr>
              <w:ind w:left="1620"/>
              <w:spacing w:after="0"/>
              <w:rPr>
                <w:sz w:val="20"/>
                <w:szCs w:val="20"/>
                <w:color w:val="auto"/>
              </w:rPr>
            </w:pPr>
            <w:r>
              <w:rPr>
                <w:rFonts w:ascii="Cambria" w:cs="Cambria" w:eastAsia="Cambria" w:hAnsi="Cambria"/>
                <w:sz w:val="22"/>
                <w:szCs w:val="22"/>
                <w:i w:val="1"/>
                <w:iCs w:val="1"/>
                <w:color w:val="4D64AA"/>
              </w:rPr>
              <w:t>glenrose.com</w:t>
            </w:r>
          </w:p>
        </w:tc>
      </w:tr>
      <w:tr>
        <w:trPr>
          <w:trHeight w:val="258"/>
        </w:trPr>
        <w:tc>
          <w:tcPr>
            <w:tcW w:w="6560" w:type="dxa"/>
            <w:vAlign w:val="bottom"/>
          </w:tcPr>
          <w:p>
            <w:pPr>
              <w:ind w:left="20"/>
              <w:spacing w:after="0"/>
              <w:rPr>
                <w:sz w:val="20"/>
                <w:szCs w:val="20"/>
                <w:color w:val="auto"/>
              </w:rPr>
            </w:pPr>
            <w:r>
              <w:rPr>
                <w:rFonts w:ascii="Cambria" w:cs="Cambria" w:eastAsia="Cambria" w:hAnsi="Cambria"/>
                <w:sz w:val="22"/>
                <w:szCs w:val="22"/>
                <w:i w:val="1"/>
                <w:iCs w:val="1"/>
                <w:color w:val="4D64AA"/>
              </w:rPr>
              <w:t>Texas Board of Professional Engineers Number F4092</w:t>
            </w:r>
          </w:p>
        </w:tc>
        <w:tc>
          <w:tcPr>
            <w:tcW w:w="2860" w:type="dxa"/>
            <w:vAlign w:val="bottom"/>
          </w:tcPr>
          <w:p>
            <w:pPr>
              <w:spacing w:after="0"/>
              <w:rPr>
                <w:sz w:val="22"/>
                <w:szCs w:val="22"/>
                <w:color w:val="auto"/>
              </w:rPr>
            </w:pPr>
          </w:p>
        </w:tc>
      </w:tr>
    </w:tbl>
    <w:p>
      <w:pPr>
        <w:sectPr>
          <w:pgSz w:w="12240" w:h="15840" w:orient="portrait"/>
          <w:cols w:equalWidth="0" w:num="1">
            <w:col w:w="9420"/>
          </w:cols>
          <w:pgMar w:left="1420" w:top="717" w:right="1400" w:bottom="141" w:gutter="0" w:footer="0" w:header="0"/>
        </w:sectPr>
      </w:pPr>
    </w:p>
    <w:bookmarkStart w:id="3" w:name="page4"/>
    <w:bookmarkEnd w:id="3"/>
    <w:p>
      <w:pPr>
        <w:ind w:left="20"/>
        <w:spacing w:after="0"/>
        <w:rPr>
          <w:sz w:val="20"/>
          <w:szCs w:val="20"/>
          <w:color w:val="auto"/>
        </w:rPr>
      </w:pPr>
      <w:r>
        <w:rPr>
          <w:rFonts w:ascii="Cambria" w:cs="Cambria" w:eastAsia="Cambria" w:hAnsi="Cambria"/>
          <w:sz w:val="24"/>
          <w:szCs w:val="24"/>
          <w:b w:val="1"/>
          <w:bCs w:val="1"/>
          <w:i w:val="1"/>
          <w:iCs w:val="1"/>
          <w:color w:val="264D9A"/>
        </w:rPr>
        <w:t>Ms. Kris Hogan</w:t>
      </w:r>
    </w:p>
    <w:p>
      <w:pPr>
        <w:spacing w:after="0" w:line="43" w:lineRule="exact"/>
        <w:rPr>
          <w:sz w:val="20"/>
          <w:szCs w:val="20"/>
          <w:color w:val="auto"/>
        </w:rPr>
      </w:pPr>
    </w:p>
    <w:p>
      <w:pPr>
        <w:ind w:left="20"/>
        <w:spacing w:after="0"/>
        <w:rPr>
          <w:sz w:val="20"/>
          <w:szCs w:val="20"/>
          <w:color w:val="auto"/>
        </w:rPr>
      </w:pPr>
      <w:r>
        <w:rPr>
          <w:rFonts w:ascii="Cambria" w:cs="Cambria" w:eastAsia="Cambria" w:hAnsi="Cambria"/>
          <w:sz w:val="24"/>
          <w:szCs w:val="24"/>
          <w:b w:val="1"/>
          <w:bCs w:val="1"/>
          <w:i w:val="1"/>
          <w:iCs w:val="1"/>
          <w:color w:val="264D9A"/>
        </w:rPr>
        <w:t>July 26, 2019</w:t>
      </w:r>
    </w:p>
    <w:p>
      <w:pPr>
        <w:spacing w:after="0" w:line="43" w:lineRule="exact"/>
        <w:rPr>
          <w:sz w:val="20"/>
          <w:szCs w:val="20"/>
          <w:color w:val="auto"/>
        </w:rPr>
      </w:pPr>
    </w:p>
    <w:p>
      <w:pPr>
        <w:ind w:left="20"/>
        <w:spacing w:after="0"/>
        <w:rPr>
          <w:sz w:val="20"/>
          <w:szCs w:val="20"/>
          <w:color w:val="auto"/>
        </w:rPr>
      </w:pPr>
      <w:r>
        <w:rPr>
          <w:rFonts w:ascii="Cambria" w:cs="Cambria" w:eastAsia="Cambria" w:hAnsi="Cambria"/>
          <w:sz w:val="24"/>
          <w:szCs w:val="24"/>
          <w:b w:val="1"/>
          <w:bCs w:val="1"/>
          <w:i w:val="1"/>
          <w:iCs w:val="1"/>
          <w:color w:val="264D9A"/>
        </w:rPr>
        <w:t>Page 2 of 5</w:t>
      </w:r>
    </w:p>
    <w:p>
      <w:pPr>
        <w:spacing w:after="0" w:line="200" w:lineRule="exact"/>
        <w:rPr>
          <w:sz w:val="20"/>
          <w:szCs w:val="20"/>
          <w:color w:val="auto"/>
        </w:rPr>
      </w:pPr>
    </w:p>
    <w:p>
      <w:pPr>
        <w:spacing w:after="0" w:line="200" w:lineRule="exact"/>
        <w:rPr>
          <w:sz w:val="20"/>
          <w:szCs w:val="20"/>
          <w:color w:val="auto"/>
        </w:rPr>
      </w:pPr>
    </w:p>
    <w:p>
      <w:pPr>
        <w:spacing w:after="0" w:line="204" w:lineRule="exact"/>
        <w:rPr>
          <w:sz w:val="20"/>
          <w:szCs w:val="20"/>
          <w:color w:val="auto"/>
        </w:rPr>
      </w:pPr>
    </w:p>
    <w:p>
      <w:pPr>
        <w:ind w:left="20" w:right="340"/>
        <w:spacing w:after="0" w:line="359" w:lineRule="auto"/>
        <w:rPr>
          <w:sz w:val="20"/>
          <w:szCs w:val="20"/>
          <w:color w:val="auto"/>
        </w:rPr>
      </w:pPr>
      <w:r>
        <w:rPr>
          <w:rFonts w:ascii="Cambria" w:cs="Cambria" w:eastAsia="Cambria" w:hAnsi="Cambria"/>
          <w:sz w:val="24"/>
          <w:szCs w:val="24"/>
          <w:color w:val="auto"/>
        </w:rPr>
        <w:t>There is, however, financial pressure to substitute beneficial reuse for effluent irrigation. Even if treated effluent is supplied free or at cost, beneficial reuse eliminates land, operation, and maintenance costs associated with irrigation disposal. The proposed beneficial reuse rules could help preserve land application as the preferred Texas Hill Country wastewater effluent disposal option. The proposed rules may also conserve natural water in the face of increasing demands on finite resources.</w:t>
      </w:r>
    </w:p>
    <w:p>
      <w:pPr>
        <w:spacing w:after="0" w:line="247" w:lineRule="exact"/>
        <w:rPr>
          <w:sz w:val="20"/>
          <w:szCs w:val="20"/>
          <w:color w:val="auto"/>
        </w:rPr>
      </w:pPr>
    </w:p>
    <w:p>
      <w:pPr>
        <w:jc w:val="both"/>
        <w:ind w:left="20" w:right="820"/>
        <w:spacing w:after="0" w:line="359" w:lineRule="auto"/>
        <w:rPr>
          <w:sz w:val="20"/>
          <w:szCs w:val="20"/>
          <w:color w:val="auto"/>
        </w:rPr>
      </w:pPr>
      <w:r>
        <w:rPr>
          <w:rFonts w:ascii="Cambria" w:cs="Cambria" w:eastAsia="Cambria" w:hAnsi="Cambria"/>
          <w:sz w:val="24"/>
          <w:szCs w:val="24"/>
          <w:color w:val="auto"/>
        </w:rPr>
        <w:t>Research has demonstrated, however, stream quality impacts from sewage effluent irrigation. The proposed rule must be written with clear standards to prevent water pollution from overly optimistic estimates of beneficial reuse demands. We strongly support the following five critical elements of the proposed rule.</w:t>
      </w:r>
    </w:p>
    <w:p>
      <w:pPr>
        <w:spacing w:after="0" w:line="244" w:lineRule="exact"/>
        <w:rPr>
          <w:sz w:val="20"/>
          <w:szCs w:val="20"/>
          <w:color w:val="auto"/>
        </w:rPr>
      </w:pPr>
    </w:p>
    <w:p>
      <w:pPr>
        <w:ind w:left="740" w:right="120" w:hanging="360"/>
        <w:spacing w:after="0" w:line="359" w:lineRule="auto"/>
        <w:tabs>
          <w:tab w:leader="none" w:pos="740" w:val="left"/>
        </w:tabs>
        <w:numPr>
          <w:ilvl w:val="0"/>
          <w:numId w:val="2"/>
        </w:numPr>
        <w:rPr>
          <w:rFonts w:ascii="Cambria" w:cs="Cambria" w:eastAsia="Cambria" w:hAnsi="Cambria"/>
          <w:sz w:val="24"/>
          <w:szCs w:val="24"/>
          <w:color w:val="auto"/>
        </w:rPr>
      </w:pPr>
      <w:r>
        <w:rPr>
          <w:rFonts w:ascii="Cambria" w:cs="Cambria" w:eastAsia="Cambria" w:hAnsi="Cambria"/>
          <w:sz w:val="24"/>
          <w:szCs w:val="24"/>
          <w:b w:val="1"/>
          <w:bCs w:val="1"/>
          <w:color w:val="auto"/>
        </w:rPr>
        <w:t>The proposed requirement that applicants demonstrate firm beneficial reuse demand</w:t>
      </w:r>
      <w:r>
        <w:rPr>
          <w:rFonts w:ascii="Cambria" w:cs="Cambria" w:eastAsia="Cambria" w:hAnsi="Cambria"/>
          <w:sz w:val="24"/>
          <w:szCs w:val="24"/>
          <w:color w:val="auto"/>
        </w:rPr>
        <w:t>. The consequences of overly optimistic estimates of water demand are</w:t>
      </w:r>
      <w:r>
        <w:rPr>
          <w:rFonts w:ascii="Cambria" w:cs="Cambria" w:eastAsia="Cambria" w:hAnsi="Cambria"/>
          <w:sz w:val="24"/>
          <w:szCs w:val="24"/>
          <w:b w:val="1"/>
          <w:bCs w:val="1"/>
          <w:color w:val="auto"/>
        </w:rPr>
        <w:t xml:space="preserve"> </w:t>
      </w:r>
      <w:r>
        <w:rPr>
          <w:rFonts w:ascii="Cambria" w:cs="Cambria" w:eastAsia="Cambria" w:hAnsi="Cambria"/>
          <w:sz w:val="24"/>
          <w:szCs w:val="24"/>
          <w:color w:val="auto"/>
        </w:rPr>
        <w:t>effluent application to frozen or saturated soils, off-site runoff and stream pollution. While these conditions are prohibited by permit terms and TCEQ rules, the history is one of nonenforcement. The proposed requirement that the applicant demonstrate a firm demand for wastewater effluent as a basis for eliminating irrigation area is key to the success of the proposed rule change.</w:t>
      </w:r>
    </w:p>
    <w:p>
      <w:pPr>
        <w:spacing w:after="0" w:line="8" w:lineRule="exact"/>
        <w:rPr>
          <w:rFonts w:ascii="Cambria" w:cs="Cambria" w:eastAsia="Cambria" w:hAnsi="Cambria"/>
          <w:sz w:val="24"/>
          <w:szCs w:val="24"/>
          <w:color w:val="auto"/>
        </w:rPr>
      </w:pPr>
    </w:p>
    <w:p>
      <w:pPr>
        <w:ind w:left="740" w:right="60" w:hanging="360"/>
        <w:spacing w:after="0" w:line="359" w:lineRule="auto"/>
        <w:tabs>
          <w:tab w:leader="none" w:pos="740" w:val="left"/>
        </w:tabs>
        <w:numPr>
          <w:ilvl w:val="0"/>
          <w:numId w:val="2"/>
        </w:numPr>
        <w:rPr>
          <w:rFonts w:ascii="Cambria" w:cs="Cambria" w:eastAsia="Cambria" w:hAnsi="Cambria"/>
          <w:sz w:val="24"/>
          <w:szCs w:val="24"/>
          <w:color w:val="auto"/>
        </w:rPr>
      </w:pPr>
      <w:r>
        <w:rPr>
          <w:rFonts w:ascii="Cambria" w:cs="Cambria" w:eastAsia="Cambria" w:hAnsi="Cambria"/>
          <w:sz w:val="24"/>
          <w:szCs w:val="24"/>
          <w:b w:val="1"/>
          <w:bCs w:val="1"/>
          <w:color w:val="auto"/>
        </w:rPr>
        <w:t xml:space="preserve">The 50% limit on the irrigation area reduction. </w:t>
      </w:r>
      <w:r>
        <w:rPr>
          <w:rFonts w:ascii="Cambria" w:cs="Cambria" w:eastAsia="Cambria" w:hAnsi="Cambria"/>
          <w:sz w:val="24"/>
          <w:szCs w:val="24"/>
          <w:color w:val="auto"/>
        </w:rPr>
        <w:t>This area reduction limit ensures</w:t>
      </w:r>
      <w:r>
        <w:rPr>
          <w:rFonts w:ascii="Cambria" w:cs="Cambria" w:eastAsia="Cambria" w:hAnsi="Cambria"/>
          <w:sz w:val="24"/>
          <w:szCs w:val="24"/>
          <w:b w:val="1"/>
          <w:bCs w:val="1"/>
          <w:color w:val="auto"/>
        </w:rPr>
        <w:t xml:space="preserve"> </w:t>
      </w:r>
      <w:r>
        <w:rPr>
          <w:rFonts w:ascii="Cambria" w:cs="Cambria" w:eastAsia="Cambria" w:hAnsi="Cambria"/>
          <w:sz w:val="24"/>
          <w:szCs w:val="24"/>
          <w:color w:val="auto"/>
        </w:rPr>
        <w:t>that at least part of the required irrigation area will be available during extended wet periods when beneficial reuse demand will be weak.</w:t>
      </w:r>
    </w:p>
    <w:p>
      <w:pPr>
        <w:spacing w:after="0" w:line="4" w:lineRule="exact"/>
        <w:rPr>
          <w:rFonts w:ascii="Cambria" w:cs="Cambria" w:eastAsia="Cambria" w:hAnsi="Cambria"/>
          <w:sz w:val="24"/>
          <w:szCs w:val="24"/>
          <w:color w:val="auto"/>
        </w:rPr>
      </w:pPr>
    </w:p>
    <w:p>
      <w:pPr>
        <w:ind w:left="740" w:right="180" w:hanging="360"/>
        <w:spacing w:after="0" w:line="359" w:lineRule="auto"/>
        <w:tabs>
          <w:tab w:leader="none" w:pos="740" w:val="left"/>
        </w:tabs>
        <w:numPr>
          <w:ilvl w:val="0"/>
          <w:numId w:val="2"/>
        </w:numPr>
        <w:rPr>
          <w:rFonts w:ascii="Cambria" w:cs="Cambria" w:eastAsia="Cambria" w:hAnsi="Cambria"/>
          <w:sz w:val="24"/>
          <w:szCs w:val="24"/>
          <w:color w:val="auto"/>
        </w:rPr>
      </w:pPr>
      <w:r>
        <w:rPr>
          <w:rFonts w:ascii="Cambria" w:cs="Cambria" w:eastAsia="Cambria" w:hAnsi="Cambria"/>
          <w:sz w:val="24"/>
          <w:szCs w:val="24"/>
          <w:b w:val="1"/>
          <w:bCs w:val="1"/>
          <w:color w:val="auto"/>
        </w:rPr>
        <w:t>The requirement to maintain 100% of the effluent storage</w:t>
      </w:r>
      <w:r>
        <w:rPr>
          <w:rFonts w:ascii="Cambria" w:cs="Cambria" w:eastAsia="Cambria" w:hAnsi="Cambria"/>
          <w:sz w:val="24"/>
          <w:szCs w:val="24"/>
          <w:color w:val="auto"/>
        </w:rPr>
        <w:t>. During wet periods</w:t>
      </w:r>
      <w:r>
        <w:rPr>
          <w:rFonts w:ascii="Cambria" w:cs="Cambria" w:eastAsia="Cambria" w:hAnsi="Cambria"/>
          <w:sz w:val="24"/>
          <w:szCs w:val="24"/>
          <w:b w:val="1"/>
          <w:bCs w:val="1"/>
          <w:color w:val="auto"/>
        </w:rPr>
        <w:t xml:space="preserve"> </w:t>
      </w:r>
      <w:r>
        <w:rPr>
          <w:rFonts w:ascii="Cambria" w:cs="Cambria" w:eastAsia="Cambria" w:hAnsi="Cambria"/>
          <w:sz w:val="24"/>
          <w:szCs w:val="24"/>
          <w:color w:val="auto"/>
        </w:rPr>
        <w:t>there will be no demand for sewage effluent from users. Effluent storage capacity during these periods is essential to ensure that irrigation will not occur when there is no available soil capacity for effluent uptake.</w:t>
      </w:r>
    </w:p>
    <w:p>
      <w:pPr>
        <w:spacing w:after="0" w:line="4" w:lineRule="exact"/>
        <w:rPr>
          <w:rFonts w:ascii="Cambria" w:cs="Cambria" w:eastAsia="Cambria" w:hAnsi="Cambria"/>
          <w:sz w:val="24"/>
          <w:szCs w:val="24"/>
          <w:color w:val="auto"/>
        </w:rPr>
      </w:pPr>
    </w:p>
    <w:p>
      <w:pPr>
        <w:ind w:left="740" w:right="60" w:hanging="360"/>
        <w:spacing w:after="0" w:line="352" w:lineRule="auto"/>
        <w:tabs>
          <w:tab w:leader="none" w:pos="740" w:val="left"/>
        </w:tabs>
        <w:numPr>
          <w:ilvl w:val="0"/>
          <w:numId w:val="2"/>
        </w:numPr>
        <w:rPr>
          <w:rFonts w:ascii="Cambria" w:cs="Cambria" w:eastAsia="Cambria" w:hAnsi="Cambria"/>
          <w:sz w:val="24"/>
          <w:szCs w:val="24"/>
          <w:color w:val="auto"/>
        </w:rPr>
      </w:pPr>
      <w:r>
        <w:rPr>
          <w:rFonts w:ascii="Cambria" w:cs="Cambria" w:eastAsia="Cambria" w:hAnsi="Cambria"/>
          <w:sz w:val="24"/>
          <w:szCs w:val="24"/>
          <w:b w:val="1"/>
          <w:bCs w:val="1"/>
          <w:color w:val="auto"/>
        </w:rPr>
        <w:t xml:space="preserve">The requirement to submit monthly reports on operation to TCEQ. </w:t>
      </w:r>
      <w:r>
        <w:rPr>
          <w:rFonts w:ascii="Cambria" w:cs="Cambria" w:eastAsia="Cambria" w:hAnsi="Cambria"/>
          <w:sz w:val="24"/>
          <w:szCs w:val="24"/>
          <w:color w:val="auto"/>
        </w:rPr>
        <w:t>Currently</w:t>
      </w:r>
      <w:r>
        <w:rPr>
          <w:rFonts w:ascii="Cambria" w:cs="Cambria" w:eastAsia="Cambria" w:hAnsi="Cambria"/>
          <w:sz w:val="24"/>
          <w:szCs w:val="24"/>
          <w:b w:val="1"/>
          <w:bCs w:val="1"/>
          <w:color w:val="auto"/>
        </w:rPr>
        <w:t xml:space="preserve"> </w:t>
      </w:r>
      <w:r>
        <w:rPr>
          <w:rFonts w:ascii="Cambria" w:cs="Cambria" w:eastAsia="Cambria" w:hAnsi="Cambria"/>
          <w:sz w:val="24"/>
          <w:szCs w:val="24"/>
          <w:color w:val="auto"/>
        </w:rPr>
        <w:t>records regarding flow rates, irrigation volumes, and effluent quality are maintained by operators onsite. TCEQ staff must travel to the wastewater facility to review these records. The public has no review opportunity except during the discovery</w:t>
      </w:r>
    </w:p>
    <w:p>
      <w:pPr>
        <w:sectPr>
          <w:pgSz w:w="12240" w:h="15840" w:orient="portrait"/>
          <w:cols w:equalWidth="0" w:num="1">
            <w:col w:w="9420"/>
          </w:cols>
          <w:pgMar w:left="1420" w:top="718" w:right="1400" w:bottom="141" w:gutter="0" w:footer="0" w:header="0"/>
        </w:sectPr>
      </w:pPr>
    </w:p>
    <w:tbl>
      <w:tblPr>
        <w:tblLayout w:type="fixed"/>
        <w:tblInd w:w="0" w:type="dxa"/>
        <w:tblCellMar>
          <w:top w:w="0" w:type="dxa"/>
          <w:left w:w="0" w:type="dxa"/>
          <w:bottom w:w="0" w:type="dxa"/>
          <w:right w:w="0" w:type="dxa"/>
        </w:tblCellMar>
      </w:tblPr>
      <w:tr>
        <w:trPr>
          <w:trHeight w:val="69"/>
        </w:trPr>
        <w:tc>
          <w:tcPr>
            <w:tcW w:w="6560" w:type="dxa"/>
            <w:vAlign w:val="bottom"/>
            <w:tcBorders>
              <w:bottom w:val="single" w:sz="8" w:color="1F497D"/>
            </w:tcBorders>
            <w:shd w:val="clear" w:color="auto" w:fill="1F497D"/>
          </w:tcPr>
          <w:p>
            <w:pPr>
              <w:spacing w:after="0"/>
              <w:rPr>
                <w:sz w:val="5"/>
                <w:szCs w:val="5"/>
                <w:color w:val="auto"/>
              </w:rPr>
            </w:pPr>
          </w:p>
        </w:tc>
        <w:tc>
          <w:tcPr>
            <w:tcW w:w="2860" w:type="dxa"/>
            <w:vAlign w:val="bottom"/>
            <w:tcBorders>
              <w:bottom w:val="single" w:sz="8" w:color="1F497D"/>
            </w:tcBorders>
            <w:shd w:val="clear" w:color="auto" w:fill="1F497D"/>
          </w:tcPr>
          <w:p>
            <w:pPr>
              <w:spacing w:after="0"/>
              <w:rPr>
                <w:sz w:val="5"/>
                <w:szCs w:val="5"/>
                <w:color w:val="auto"/>
              </w:rPr>
            </w:pPr>
          </w:p>
        </w:tc>
      </w:tr>
      <w:tr>
        <w:trPr>
          <w:trHeight w:val="276"/>
        </w:trPr>
        <w:tc>
          <w:tcPr>
            <w:tcW w:w="6560" w:type="dxa"/>
            <w:vAlign w:val="bottom"/>
          </w:tcPr>
          <w:p>
            <w:pPr>
              <w:ind w:left="20"/>
              <w:spacing w:after="0"/>
              <w:rPr>
                <w:sz w:val="20"/>
                <w:szCs w:val="20"/>
                <w:color w:val="auto"/>
              </w:rPr>
            </w:pPr>
            <w:r>
              <w:rPr>
                <w:rFonts w:ascii="Cambria" w:cs="Cambria" w:eastAsia="Cambria" w:hAnsi="Cambria"/>
                <w:sz w:val="22"/>
                <w:szCs w:val="22"/>
                <w:i w:val="1"/>
                <w:iCs w:val="1"/>
                <w:color w:val="4D64AA"/>
              </w:rPr>
              <w:t>Glenrose Engineering, Inc.</w:t>
            </w:r>
          </w:p>
        </w:tc>
        <w:tc>
          <w:tcPr>
            <w:tcW w:w="2860" w:type="dxa"/>
            <w:vAlign w:val="bottom"/>
          </w:tcPr>
          <w:p>
            <w:pPr>
              <w:ind w:left="1620"/>
              <w:spacing w:after="0"/>
              <w:rPr>
                <w:sz w:val="20"/>
                <w:szCs w:val="20"/>
                <w:color w:val="auto"/>
              </w:rPr>
            </w:pPr>
            <w:r>
              <w:rPr>
                <w:rFonts w:ascii="Cambria" w:cs="Cambria" w:eastAsia="Cambria" w:hAnsi="Cambria"/>
                <w:sz w:val="22"/>
                <w:szCs w:val="22"/>
                <w:i w:val="1"/>
                <w:iCs w:val="1"/>
                <w:color w:val="4D64AA"/>
              </w:rPr>
              <w:t>glenrose.com</w:t>
            </w:r>
          </w:p>
        </w:tc>
      </w:tr>
      <w:tr>
        <w:trPr>
          <w:trHeight w:val="258"/>
        </w:trPr>
        <w:tc>
          <w:tcPr>
            <w:tcW w:w="6560" w:type="dxa"/>
            <w:vAlign w:val="bottom"/>
          </w:tcPr>
          <w:p>
            <w:pPr>
              <w:ind w:left="20"/>
              <w:spacing w:after="0"/>
              <w:rPr>
                <w:sz w:val="20"/>
                <w:szCs w:val="20"/>
                <w:color w:val="auto"/>
              </w:rPr>
            </w:pPr>
            <w:r>
              <w:rPr>
                <w:rFonts w:ascii="Cambria" w:cs="Cambria" w:eastAsia="Cambria" w:hAnsi="Cambria"/>
                <w:sz w:val="22"/>
                <w:szCs w:val="22"/>
                <w:i w:val="1"/>
                <w:iCs w:val="1"/>
                <w:color w:val="4D64AA"/>
              </w:rPr>
              <w:t>Texas Board of Professional Engineers Number F4092</w:t>
            </w:r>
          </w:p>
        </w:tc>
        <w:tc>
          <w:tcPr>
            <w:tcW w:w="2860" w:type="dxa"/>
            <w:vAlign w:val="bottom"/>
          </w:tcPr>
          <w:p>
            <w:pPr>
              <w:spacing w:after="0"/>
              <w:rPr>
                <w:sz w:val="22"/>
                <w:szCs w:val="22"/>
                <w:color w:val="auto"/>
              </w:rPr>
            </w:pPr>
          </w:p>
        </w:tc>
      </w:tr>
    </w:tbl>
    <w:p>
      <w:pPr>
        <w:sectPr>
          <w:pgSz w:w="12240" w:h="15840" w:orient="portrait"/>
          <w:cols w:equalWidth="0" w:num="1">
            <w:col w:w="9420"/>
          </w:cols>
          <w:pgMar w:left="1420" w:top="718" w:right="1400" w:bottom="141" w:gutter="0" w:footer="0" w:header="0"/>
          <w:type w:val="continuous"/>
        </w:sectPr>
      </w:pPr>
    </w:p>
    <w:bookmarkStart w:id="4" w:name="page5"/>
    <w:bookmarkEnd w:id="4"/>
    <w:p>
      <w:pPr>
        <w:ind w:left="20"/>
        <w:spacing w:after="0"/>
        <w:rPr>
          <w:sz w:val="20"/>
          <w:szCs w:val="20"/>
          <w:color w:val="auto"/>
        </w:rPr>
      </w:pPr>
      <w:r>
        <w:rPr>
          <w:rFonts w:ascii="Cambria" w:cs="Cambria" w:eastAsia="Cambria" w:hAnsi="Cambria"/>
          <w:sz w:val="24"/>
          <w:szCs w:val="24"/>
          <w:b w:val="1"/>
          <w:bCs w:val="1"/>
          <w:i w:val="1"/>
          <w:iCs w:val="1"/>
          <w:color w:val="264D9A"/>
        </w:rPr>
        <w:t>Ms. Kris Hogan</w:t>
      </w:r>
    </w:p>
    <w:p>
      <w:pPr>
        <w:spacing w:after="0" w:line="43" w:lineRule="exact"/>
        <w:rPr>
          <w:sz w:val="20"/>
          <w:szCs w:val="20"/>
          <w:color w:val="auto"/>
        </w:rPr>
      </w:pPr>
    </w:p>
    <w:p>
      <w:pPr>
        <w:ind w:left="20"/>
        <w:spacing w:after="0"/>
        <w:rPr>
          <w:sz w:val="20"/>
          <w:szCs w:val="20"/>
          <w:color w:val="auto"/>
        </w:rPr>
      </w:pPr>
      <w:r>
        <w:rPr>
          <w:rFonts w:ascii="Cambria" w:cs="Cambria" w:eastAsia="Cambria" w:hAnsi="Cambria"/>
          <w:sz w:val="24"/>
          <w:szCs w:val="24"/>
          <w:b w:val="1"/>
          <w:bCs w:val="1"/>
          <w:i w:val="1"/>
          <w:iCs w:val="1"/>
          <w:color w:val="264D9A"/>
        </w:rPr>
        <w:t>July 26, 2019</w:t>
      </w:r>
    </w:p>
    <w:p>
      <w:pPr>
        <w:spacing w:after="0" w:line="43" w:lineRule="exact"/>
        <w:rPr>
          <w:sz w:val="20"/>
          <w:szCs w:val="20"/>
          <w:color w:val="auto"/>
        </w:rPr>
      </w:pPr>
    </w:p>
    <w:p>
      <w:pPr>
        <w:ind w:left="20"/>
        <w:spacing w:after="0"/>
        <w:rPr>
          <w:sz w:val="20"/>
          <w:szCs w:val="20"/>
          <w:color w:val="auto"/>
        </w:rPr>
      </w:pPr>
      <w:r>
        <w:rPr>
          <w:rFonts w:ascii="Cambria" w:cs="Cambria" w:eastAsia="Cambria" w:hAnsi="Cambria"/>
          <w:sz w:val="24"/>
          <w:szCs w:val="24"/>
          <w:b w:val="1"/>
          <w:bCs w:val="1"/>
          <w:i w:val="1"/>
          <w:iCs w:val="1"/>
          <w:color w:val="264D9A"/>
        </w:rPr>
        <w:t>Page 3 of 5</w:t>
      </w:r>
    </w:p>
    <w:p>
      <w:pPr>
        <w:spacing w:after="0" w:line="200" w:lineRule="exact"/>
        <w:rPr>
          <w:sz w:val="20"/>
          <w:szCs w:val="20"/>
          <w:color w:val="auto"/>
        </w:rPr>
      </w:pPr>
    </w:p>
    <w:p>
      <w:pPr>
        <w:spacing w:after="0" w:line="200" w:lineRule="exact"/>
        <w:rPr>
          <w:sz w:val="20"/>
          <w:szCs w:val="20"/>
          <w:color w:val="auto"/>
        </w:rPr>
      </w:pPr>
    </w:p>
    <w:p>
      <w:pPr>
        <w:spacing w:after="0" w:line="204" w:lineRule="exact"/>
        <w:rPr>
          <w:sz w:val="20"/>
          <w:szCs w:val="20"/>
          <w:color w:val="auto"/>
        </w:rPr>
      </w:pPr>
    </w:p>
    <w:p>
      <w:pPr>
        <w:ind w:left="740" w:right="140"/>
        <w:spacing w:after="0" w:line="358" w:lineRule="auto"/>
        <w:rPr>
          <w:sz w:val="20"/>
          <w:szCs w:val="20"/>
          <w:color w:val="auto"/>
        </w:rPr>
      </w:pPr>
      <w:r>
        <w:rPr>
          <w:rFonts w:ascii="Cambria" w:cs="Cambria" w:eastAsia="Cambria" w:hAnsi="Cambria"/>
          <w:sz w:val="24"/>
          <w:szCs w:val="24"/>
          <w:color w:val="auto"/>
        </w:rPr>
        <w:t>process for a permit renewal contested case hearing. The availability of wastewater irrigation disposal records for office review by TCEQ staff and the public will increase operational accountability.</w:t>
      </w:r>
    </w:p>
    <w:p>
      <w:pPr>
        <w:spacing w:after="0" w:line="6" w:lineRule="exact"/>
        <w:rPr>
          <w:sz w:val="20"/>
          <w:szCs w:val="20"/>
          <w:color w:val="auto"/>
        </w:rPr>
      </w:pPr>
    </w:p>
    <w:p>
      <w:pPr>
        <w:ind w:left="740" w:right="40" w:hanging="360"/>
        <w:spacing w:after="0" w:line="359" w:lineRule="auto"/>
        <w:tabs>
          <w:tab w:leader="none" w:pos="740" w:val="left"/>
        </w:tabs>
        <w:numPr>
          <w:ilvl w:val="0"/>
          <w:numId w:val="3"/>
        </w:numPr>
        <w:rPr>
          <w:rFonts w:ascii="Cambria" w:cs="Cambria" w:eastAsia="Cambria" w:hAnsi="Cambria"/>
          <w:sz w:val="24"/>
          <w:szCs w:val="24"/>
          <w:color w:val="auto"/>
        </w:rPr>
      </w:pPr>
      <w:r>
        <w:rPr>
          <w:rFonts w:ascii="Cambria" w:cs="Cambria" w:eastAsia="Cambria" w:hAnsi="Cambria"/>
          <w:sz w:val="24"/>
          <w:szCs w:val="24"/>
          <w:b w:val="1"/>
          <w:bCs w:val="1"/>
          <w:color w:val="auto"/>
        </w:rPr>
        <w:t xml:space="preserve">The requirement for pump-and-haul contracts to be in place. </w:t>
      </w:r>
      <w:r>
        <w:rPr>
          <w:rFonts w:ascii="Cambria" w:cs="Cambria" w:eastAsia="Cambria" w:hAnsi="Cambria"/>
          <w:sz w:val="24"/>
          <w:szCs w:val="24"/>
          <w:color w:val="auto"/>
        </w:rPr>
        <w:t>Pump-and-haul</w:t>
      </w:r>
      <w:r>
        <w:rPr>
          <w:rFonts w:ascii="Cambria" w:cs="Cambria" w:eastAsia="Cambria" w:hAnsi="Cambria"/>
          <w:sz w:val="24"/>
          <w:szCs w:val="24"/>
          <w:b w:val="1"/>
          <w:bCs w:val="1"/>
          <w:color w:val="auto"/>
        </w:rPr>
        <w:t xml:space="preserve"> </w:t>
      </w:r>
      <w:r>
        <w:rPr>
          <w:rFonts w:ascii="Cambria" w:cs="Cambria" w:eastAsia="Cambria" w:hAnsi="Cambria"/>
          <w:sz w:val="24"/>
          <w:szCs w:val="24"/>
          <w:color w:val="auto"/>
        </w:rPr>
        <w:t>disposal is required as a permit term for all TLAPs. The conditions that would result in pump-and-haul, however, occur during severe or extended weather conditions or during plant emergencies. Either of those conditions are difficult times during which to find and establish a transporter relationship. Anticipatory pump-and-haul contracts for times when the permittee is otherwise unable to operate within permit parameters will facilitate compliance.</w:t>
      </w:r>
    </w:p>
    <w:p>
      <w:pPr>
        <w:spacing w:after="0" w:line="249" w:lineRule="exact"/>
        <w:rPr>
          <w:sz w:val="20"/>
          <w:szCs w:val="20"/>
          <w:color w:val="auto"/>
        </w:rPr>
      </w:pPr>
    </w:p>
    <w:p>
      <w:pPr>
        <w:ind w:left="20" w:right="560"/>
        <w:spacing w:after="0" w:line="359" w:lineRule="auto"/>
        <w:rPr>
          <w:sz w:val="20"/>
          <w:szCs w:val="20"/>
          <w:color w:val="auto"/>
        </w:rPr>
      </w:pPr>
      <w:r>
        <w:rPr>
          <w:rFonts w:ascii="Cambria" w:cs="Cambria" w:eastAsia="Cambria" w:hAnsi="Cambria"/>
          <w:sz w:val="24"/>
          <w:szCs w:val="24"/>
          <w:color w:val="auto"/>
        </w:rPr>
        <w:t>There are also areas where we recommend that the proposed rules be strengthened to protect fragile streams, aquifers and ecosystems of the Texas hill country:</w:t>
      </w:r>
    </w:p>
    <w:p>
      <w:pPr>
        <w:spacing w:after="0" w:line="257" w:lineRule="exact"/>
        <w:rPr>
          <w:sz w:val="20"/>
          <w:szCs w:val="20"/>
          <w:color w:val="auto"/>
        </w:rPr>
      </w:pPr>
    </w:p>
    <w:p>
      <w:pPr>
        <w:ind w:left="740" w:right="280" w:hanging="360"/>
        <w:spacing w:after="0" w:line="356" w:lineRule="auto"/>
        <w:tabs>
          <w:tab w:leader="none" w:pos="740" w:val="left"/>
        </w:tabs>
        <w:numPr>
          <w:ilvl w:val="0"/>
          <w:numId w:val="4"/>
        </w:numPr>
        <w:rPr>
          <w:rFonts w:ascii="Symbol" w:cs="Symbol" w:eastAsia="Symbol" w:hAnsi="Symbol"/>
          <w:sz w:val="24"/>
          <w:szCs w:val="24"/>
          <w:color w:val="auto"/>
        </w:rPr>
      </w:pPr>
      <w:r>
        <w:rPr>
          <w:rFonts w:ascii="Cambria" w:cs="Cambria" w:eastAsia="Cambria" w:hAnsi="Cambria"/>
          <w:sz w:val="24"/>
          <w:szCs w:val="24"/>
          <w:b w:val="1"/>
          <w:bCs w:val="1"/>
          <w:color w:val="auto"/>
        </w:rPr>
        <w:t xml:space="preserve">Implement buffer requirements. </w:t>
      </w:r>
      <w:r>
        <w:rPr>
          <w:rFonts w:ascii="Cambria" w:cs="Cambria" w:eastAsia="Cambria" w:hAnsi="Cambria"/>
          <w:sz w:val="24"/>
          <w:szCs w:val="24"/>
          <w:color w:val="auto"/>
        </w:rPr>
        <w:t>Effluent movement through soil extracts</w:t>
      </w:r>
      <w:r>
        <w:rPr>
          <w:rFonts w:ascii="Cambria" w:cs="Cambria" w:eastAsia="Cambria" w:hAnsi="Cambria"/>
          <w:sz w:val="24"/>
          <w:szCs w:val="24"/>
          <w:b w:val="1"/>
          <w:bCs w:val="1"/>
          <w:color w:val="auto"/>
        </w:rPr>
        <w:t xml:space="preserve"> </w:t>
      </w:r>
      <w:r>
        <w:rPr>
          <w:rFonts w:ascii="Cambria" w:cs="Cambria" w:eastAsia="Cambria" w:hAnsi="Cambria"/>
          <w:sz w:val="24"/>
          <w:szCs w:val="24"/>
          <w:color w:val="auto"/>
        </w:rPr>
        <w:t>nutrients and other chemicals that damage water quality. A strip of vegetated land between irrigation area and stream banks or recharge features is essential to keep treated effluent from moving directly into surface water or a karst aquifer. Vegetated land buffer requirements for TLAP effluent disposal are based on sound scientific reasoning.</w:t>
      </w:r>
    </w:p>
    <w:p>
      <w:pPr>
        <w:spacing w:after="0" w:line="246" w:lineRule="exact"/>
        <w:rPr>
          <w:rFonts w:ascii="Symbol" w:cs="Symbol" w:eastAsia="Symbol" w:hAnsi="Symbol"/>
          <w:sz w:val="24"/>
          <w:szCs w:val="24"/>
          <w:color w:val="auto"/>
        </w:rPr>
      </w:pPr>
    </w:p>
    <w:p>
      <w:pPr>
        <w:ind w:left="740" w:right="60"/>
        <w:spacing w:after="0" w:line="360" w:lineRule="auto"/>
        <w:rPr>
          <w:rFonts w:ascii="Symbol" w:cs="Symbol" w:eastAsia="Symbol" w:hAnsi="Symbol"/>
          <w:sz w:val="24"/>
          <w:szCs w:val="24"/>
          <w:color w:val="auto"/>
        </w:rPr>
      </w:pPr>
      <w:r>
        <w:rPr>
          <w:rFonts w:ascii="Cambria" w:cs="Cambria" w:eastAsia="Cambria" w:hAnsi="Cambria"/>
          <w:sz w:val="24"/>
          <w:szCs w:val="24"/>
          <w:color w:val="auto"/>
        </w:rPr>
        <w:t>The additional Type II treatment requirements for beneficial reuse do not address this nutrient contamination. Buffer protection is, therefore, equally important to protect water quality whether the effluent application is through TLAP or beneficial reuse authorization. We request that a buffer requirement be added to the proposed rule.</w:t>
      </w:r>
    </w:p>
    <w:p>
      <w:pPr>
        <w:spacing w:after="0" w:line="256" w:lineRule="exact"/>
        <w:rPr>
          <w:rFonts w:ascii="Symbol" w:cs="Symbol" w:eastAsia="Symbol" w:hAnsi="Symbol"/>
          <w:sz w:val="24"/>
          <w:szCs w:val="24"/>
          <w:color w:val="auto"/>
        </w:rPr>
      </w:pPr>
    </w:p>
    <w:p>
      <w:pPr>
        <w:ind w:left="740" w:right="60" w:hanging="360"/>
        <w:spacing w:after="0" w:line="329" w:lineRule="auto"/>
        <w:tabs>
          <w:tab w:leader="none" w:pos="740" w:val="left"/>
        </w:tabs>
        <w:numPr>
          <w:ilvl w:val="0"/>
          <w:numId w:val="4"/>
        </w:numPr>
        <w:rPr>
          <w:rFonts w:ascii="Symbol" w:cs="Symbol" w:eastAsia="Symbol" w:hAnsi="Symbol"/>
          <w:sz w:val="24"/>
          <w:szCs w:val="24"/>
          <w:color w:val="auto"/>
        </w:rPr>
      </w:pPr>
      <w:r>
        <w:rPr>
          <w:rFonts w:ascii="Cambria" w:cs="Cambria" w:eastAsia="Cambria" w:hAnsi="Cambria"/>
          <w:sz w:val="24"/>
          <w:szCs w:val="24"/>
          <w:b w:val="1"/>
          <w:bCs w:val="1"/>
          <w:color w:val="auto"/>
        </w:rPr>
        <w:t xml:space="preserve">More protective effluent limits than Type II. </w:t>
      </w:r>
      <w:r>
        <w:rPr>
          <w:rFonts w:ascii="Cambria" w:cs="Cambria" w:eastAsia="Cambria" w:hAnsi="Cambria"/>
          <w:sz w:val="24"/>
          <w:szCs w:val="24"/>
          <w:color w:val="auto"/>
        </w:rPr>
        <w:t>The City of Austin has extensive</w:t>
      </w:r>
      <w:r>
        <w:rPr>
          <w:rFonts w:ascii="Cambria" w:cs="Cambria" w:eastAsia="Cambria" w:hAnsi="Cambria"/>
          <w:sz w:val="24"/>
          <w:szCs w:val="24"/>
          <w:b w:val="1"/>
          <w:bCs w:val="1"/>
          <w:color w:val="auto"/>
        </w:rPr>
        <w:t xml:space="preserve"> </w:t>
      </w:r>
      <w:r>
        <w:rPr>
          <w:rFonts w:ascii="Cambria" w:cs="Cambria" w:eastAsia="Cambria" w:hAnsi="Cambria"/>
          <w:sz w:val="24"/>
          <w:szCs w:val="24"/>
          <w:color w:val="auto"/>
        </w:rPr>
        <w:t>experience with reclaimed water irrigation. Their studies show nutrient increases in streams downstream from sewage effluent irrigation disposal areas. We recommend that nutrient loading standards similar to those for TLAP be</w:t>
      </w:r>
    </w:p>
    <w:p>
      <w:pPr>
        <w:sectPr>
          <w:pgSz w:w="12240" w:h="15840" w:orient="portrait"/>
          <w:cols w:equalWidth="0" w:num="1">
            <w:col w:w="9420"/>
          </w:cols>
          <w:pgMar w:left="1420" w:top="718" w:right="1400" w:bottom="141" w:gutter="0" w:footer="0" w:header="0"/>
        </w:sectPr>
      </w:pPr>
    </w:p>
    <w:p>
      <w:pPr>
        <w:spacing w:after="0" w:line="4" w:lineRule="exact"/>
        <w:rPr>
          <w:sz w:val="20"/>
          <w:szCs w:val="20"/>
          <w:color w:val="auto"/>
        </w:rPr>
      </w:pPr>
    </w:p>
    <w:tbl>
      <w:tblPr>
        <w:tblLayout w:type="fixed"/>
        <w:tblInd w:w="0" w:type="dxa"/>
        <w:tblCellMar>
          <w:top w:w="0" w:type="dxa"/>
          <w:left w:w="0" w:type="dxa"/>
          <w:bottom w:w="0" w:type="dxa"/>
          <w:right w:w="0" w:type="dxa"/>
        </w:tblCellMar>
      </w:tblPr>
      <w:tr>
        <w:trPr>
          <w:trHeight w:val="69"/>
        </w:trPr>
        <w:tc>
          <w:tcPr>
            <w:tcW w:w="6560" w:type="dxa"/>
            <w:vAlign w:val="bottom"/>
            <w:tcBorders>
              <w:bottom w:val="single" w:sz="8" w:color="1F497D"/>
            </w:tcBorders>
            <w:shd w:val="clear" w:color="auto" w:fill="1F497D"/>
          </w:tcPr>
          <w:p>
            <w:pPr>
              <w:spacing w:after="0"/>
              <w:rPr>
                <w:sz w:val="5"/>
                <w:szCs w:val="5"/>
                <w:color w:val="auto"/>
              </w:rPr>
            </w:pPr>
          </w:p>
        </w:tc>
        <w:tc>
          <w:tcPr>
            <w:tcW w:w="2860" w:type="dxa"/>
            <w:vAlign w:val="bottom"/>
            <w:tcBorders>
              <w:bottom w:val="single" w:sz="8" w:color="1F497D"/>
            </w:tcBorders>
            <w:shd w:val="clear" w:color="auto" w:fill="1F497D"/>
          </w:tcPr>
          <w:p>
            <w:pPr>
              <w:spacing w:after="0"/>
              <w:rPr>
                <w:sz w:val="5"/>
                <w:szCs w:val="5"/>
                <w:color w:val="auto"/>
              </w:rPr>
            </w:pPr>
          </w:p>
        </w:tc>
      </w:tr>
      <w:tr>
        <w:trPr>
          <w:trHeight w:val="276"/>
        </w:trPr>
        <w:tc>
          <w:tcPr>
            <w:tcW w:w="6560" w:type="dxa"/>
            <w:vAlign w:val="bottom"/>
          </w:tcPr>
          <w:p>
            <w:pPr>
              <w:ind w:left="20"/>
              <w:spacing w:after="0"/>
              <w:rPr>
                <w:sz w:val="20"/>
                <w:szCs w:val="20"/>
                <w:color w:val="auto"/>
              </w:rPr>
            </w:pPr>
            <w:r>
              <w:rPr>
                <w:rFonts w:ascii="Cambria" w:cs="Cambria" w:eastAsia="Cambria" w:hAnsi="Cambria"/>
                <w:sz w:val="22"/>
                <w:szCs w:val="22"/>
                <w:i w:val="1"/>
                <w:iCs w:val="1"/>
                <w:color w:val="4D64AA"/>
              </w:rPr>
              <w:t>Glenrose Engineering, Inc.</w:t>
            </w:r>
          </w:p>
        </w:tc>
        <w:tc>
          <w:tcPr>
            <w:tcW w:w="2860" w:type="dxa"/>
            <w:vAlign w:val="bottom"/>
          </w:tcPr>
          <w:p>
            <w:pPr>
              <w:ind w:left="1620"/>
              <w:spacing w:after="0"/>
              <w:rPr>
                <w:sz w:val="20"/>
                <w:szCs w:val="20"/>
                <w:color w:val="auto"/>
              </w:rPr>
            </w:pPr>
            <w:r>
              <w:rPr>
                <w:rFonts w:ascii="Cambria" w:cs="Cambria" w:eastAsia="Cambria" w:hAnsi="Cambria"/>
                <w:sz w:val="22"/>
                <w:szCs w:val="22"/>
                <w:i w:val="1"/>
                <w:iCs w:val="1"/>
                <w:color w:val="4D64AA"/>
              </w:rPr>
              <w:t>glenrose.com</w:t>
            </w:r>
          </w:p>
        </w:tc>
      </w:tr>
      <w:tr>
        <w:trPr>
          <w:trHeight w:val="258"/>
        </w:trPr>
        <w:tc>
          <w:tcPr>
            <w:tcW w:w="6560" w:type="dxa"/>
            <w:vAlign w:val="bottom"/>
          </w:tcPr>
          <w:p>
            <w:pPr>
              <w:ind w:left="20"/>
              <w:spacing w:after="0"/>
              <w:rPr>
                <w:sz w:val="20"/>
                <w:szCs w:val="20"/>
                <w:color w:val="auto"/>
              </w:rPr>
            </w:pPr>
            <w:r>
              <w:rPr>
                <w:rFonts w:ascii="Cambria" w:cs="Cambria" w:eastAsia="Cambria" w:hAnsi="Cambria"/>
                <w:sz w:val="22"/>
                <w:szCs w:val="22"/>
                <w:i w:val="1"/>
                <w:iCs w:val="1"/>
                <w:color w:val="4D64AA"/>
              </w:rPr>
              <w:t>Texas Board of Professional Engineers Number F4092</w:t>
            </w:r>
          </w:p>
        </w:tc>
        <w:tc>
          <w:tcPr>
            <w:tcW w:w="2860" w:type="dxa"/>
            <w:vAlign w:val="bottom"/>
          </w:tcPr>
          <w:p>
            <w:pPr>
              <w:spacing w:after="0"/>
              <w:rPr>
                <w:sz w:val="22"/>
                <w:szCs w:val="22"/>
                <w:color w:val="auto"/>
              </w:rPr>
            </w:pPr>
          </w:p>
        </w:tc>
      </w:tr>
    </w:tbl>
    <w:p>
      <w:pPr>
        <w:sectPr>
          <w:pgSz w:w="12240" w:h="15840" w:orient="portrait"/>
          <w:cols w:equalWidth="0" w:num="1">
            <w:col w:w="9420"/>
          </w:cols>
          <w:pgMar w:left="1420" w:top="718" w:right="1400" w:bottom="141" w:gutter="0" w:footer="0" w:header="0"/>
          <w:type w:val="continuous"/>
        </w:sectPr>
      </w:pPr>
    </w:p>
    <w:bookmarkStart w:id="5" w:name="page6"/>
    <w:bookmarkEnd w:id="5"/>
    <w:p>
      <w:pPr>
        <w:ind w:left="20"/>
        <w:spacing w:after="0"/>
        <w:rPr>
          <w:sz w:val="20"/>
          <w:szCs w:val="20"/>
          <w:color w:val="auto"/>
        </w:rPr>
      </w:pPr>
      <w:r>
        <w:rPr>
          <w:rFonts w:ascii="Cambria" w:cs="Cambria" w:eastAsia="Cambria" w:hAnsi="Cambria"/>
          <w:sz w:val="24"/>
          <w:szCs w:val="24"/>
          <w:b w:val="1"/>
          <w:bCs w:val="1"/>
          <w:i w:val="1"/>
          <w:iCs w:val="1"/>
          <w:color w:val="264D9A"/>
        </w:rPr>
        <w:t>Ms. Kris Hogan</w:t>
      </w:r>
    </w:p>
    <w:p>
      <w:pPr>
        <w:spacing w:after="0" w:line="43" w:lineRule="exact"/>
        <w:rPr>
          <w:sz w:val="20"/>
          <w:szCs w:val="20"/>
          <w:color w:val="auto"/>
        </w:rPr>
      </w:pPr>
    </w:p>
    <w:p>
      <w:pPr>
        <w:ind w:left="20"/>
        <w:spacing w:after="0"/>
        <w:rPr>
          <w:sz w:val="20"/>
          <w:szCs w:val="20"/>
          <w:color w:val="auto"/>
        </w:rPr>
      </w:pPr>
      <w:r>
        <w:rPr>
          <w:rFonts w:ascii="Cambria" w:cs="Cambria" w:eastAsia="Cambria" w:hAnsi="Cambria"/>
          <w:sz w:val="24"/>
          <w:szCs w:val="24"/>
          <w:b w:val="1"/>
          <w:bCs w:val="1"/>
          <w:i w:val="1"/>
          <w:iCs w:val="1"/>
          <w:color w:val="264D9A"/>
        </w:rPr>
        <w:t>July 26, 2019</w:t>
      </w:r>
    </w:p>
    <w:p>
      <w:pPr>
        <w:spacing w:after="0" w:line="43" w:lineRule="exact"/>
        <w:rPr>
          <w:sz w:val="20"/>
          <w:szCs w:val="20"/>
          <w:color w:val="auto"/>
        </w:rPr>
      </w:pPr>
    </w:p>
    <w:p>
      <w:pPr>
        <w:ind w:left="20"/>
        <w:spacing w:after="0"/>
        <w:rPr>
          <w:sz w:val="20"/>
          <w:szCs w:val="20"/>
          <w:color w:val="auto"/>
        </w:rPr>
      </w:pPr>
      <w:r>
        <w:rPr>
          <w:rFonts w:ascii="Cambria" w:cs="Cambria" w:eastAsia="Cambria" w:hAnsi="Cambria"/>
          <w:sz w:val="24"/>
          <w:szCs w:val="24"/>
          <w:b w:val="1"/>
          <w:bCs w:val="1"/>
          <w:i w:val="1"/>
          <w:iCs w:val="1"/>
          <w:color w:val="264D9A"/>
        </w:rPr>
        <w:t>Page 4 of 5</w:t>
      </w:r>
    </w:p>
    <w:p>
      <w:pPr>
        <w:spacing w:after="0" w:line="200" w:lineRule="exact"/>
        <w:rPr>
          <w:sz w:val="20"/>
          <w:szCs w:val="20"/>
          <w:color w:val="auto"/>
        </w:rPr>
      </w:pPr>
    </w:p>
    <w:p>
      <w:pPr>
        <w:spacing w:after="0" w:line="200" w:lineRule="exact"/>
        <w:rPr>
          <w:sz w:val="20"/>
          <w:szCs w:val="20"/>
          <w:color w:val="auto"/>
        </w:rPr>
      </w:pPr>
    </w:p>
    <w:p>
      <w:pPr>
        <w:spacing w:after="0" w:line="204" w:lineRule="exact"/>
        <w:rPr>
          <w:sz w:val="20"/>
          <w:szCs w:val="20"/>
          <w:color w:val="auto"/>
        </w:rPr>
      </w:pPr>
    </w:p>
    <w:p>
      <w:pPr>
        <w:ind w:left="740" w:right="60"/>
        <w:spacing w:after="0" w:line="359" w:lineRule="auto"/>
        <w:rPr>
          <w:sz w:val="20"/>
          <w:szCs w:val="20"/>
          <w:color w:val="auto"/>
        </w:rPr>
      </w:pPr>
      <w:r>
        <w:rPr>
          <w:rFonts w:ascii="Cambria" w:cs="Cambria" w:eastAsia="Cambria" w:hAnsi="Cambria"/>
          <w:sz w:val="24"/>
          <w:szCs w:val="24"/>
          <w:color w:val="auto"/>
        </w:rPr>
        <w:t>implemented for all irrigated beneficial reuse to prevent that degradation. Where nutrient load calculations indicate the potential for application rates higher than what can be used by vegetation, effluent nutrient reduction should be required prior to beneficial reuse for landscape irrigation.</w:t>
      </w:r>
    </w:p>
    <w:p>
      <w:pPr>
        <w:spacing w:after="0" w:line="18" w:lineRule="exact"/>
        <w:rPr>
          <w:sz w:val="20"/>
          <w:szCs w:val="20"/>
          <w:color w:val="auto"/>
        </w:rPr>
      </w:pPr>
    </w:p>
    <w:p>
      <w:pPr>
        <w:ind w:left="740" w:right="160" w:hanging="360"/>
        <w:spacing w:after="0" w:line="357" w:lineRule="auto"/>
        <w:tabs>
          <w:tab w:leader="none" w:pos="740" w:val="left"/>
        </w:tabs>
        <w:numPr>
          <w:ilvl w:val="0"/>
          <w:numId w:val="5"/>
        </w:numPr>
        <w:rPr>
          <w:rFonts w:ascii="Symbol" w:cs="Symbol" w:eastAsia="Symbol" w:hAnsi="Symbol"/>
          <w:sz w:val="24"/>
          <w:szCs w:val="24"/>
          <w:color w:val="auto"/>
        </w:rPr>
      </w:pPr>
      <w:r>
        <w:rPr>
          <w:rFonts w:ascii="Cambria" w:cs="Cambria" w:eastAsia="Cambria" w:hAnsi="Cambria"/>
          <w:sz w:val="24"/>
          <w:szCs w:val="24"/>
          <w:b w:val="1"/>
          <w:bCs w:val="1"/>
          <w:color w:val="auto"/>
        </w:rPr>
        <w:t xml:space="preserve">Alternate demonstration of beneficial reuse firm demand. </w:t>
      </w:r>
      <w:r>
        <w:rPr>
          <w:rFonts w:ascii="Cambria" w:cs="Cambria" w:eastAsia="Cambria" w:hAnsi="Cambria"/>
          <w:sz w:val="24"/>
          <w:szCs w:val="24"/>
          <w:color w:val="auto"/>
        </w:rPr>
        <w:t>The proposed rule</w:t>
      </w:r>
      <w:r>
        <w:rPr>
          <w:rFonts w:ascii="Cambria" w:cs="Cambria" w:eastAsia="Cambria" w:hAnsi="Cambria"/>
          <w:sz w:val="24"/>
          <w:szCs w:val="24"/>
          <w:b w:val="1"/>
          <w:bCs w:val="1"/>
          <w:color w:val="auto"/>
        </w:rPr>
        <w:t xml:space="preserve"> </w:t>
      </w:r>
      <w:r>
        <w:rPr>
          <w:rFonts w:ascii="Cambria" w:cs="Cambria" w:eastAsia="Cambria" w:hAnsi="Cambria"/>
          <w:sz w:val="24"/>
          <w:szCs w:val="24"/>
          <w:color w:val="auto"/>
        </w:rPr>
        <w:t>contemplates firm demand for beneficial reuse based on historical records of reuse. There are two problems with this basis. First, during extended drought, historical records will over-estimate demand compared to ordinary or wet weather conditions. Second, reliance solely on historical records eliminates the opportunity for irrigation area off-sets for new wastewater facilities without access to historical reuse data.</w:t>
      </w:r>
    </w:p>
    <w:p>
      <w:pPr>
        <w:spacing w:after="0" w:line="243" w:lineRule="exact"/>
        <w:rPr>
          <w:rFonts w:ascii="Symbol" w:cs="Symbol" w:eastAsia="Symbol" w:hAnsi="Symbol"/>
          <w:sz w:val="24"/>
          <w:szCs w:val="24"/>
          <w:color w:val="auto"/>
        </w:rPr>
      </w:pPr>
    </w:p>
    <w:p>
      <w:pPr>
        <w:ind w:left="740" w:right="120"/>
        <w:spacing w:after="0" w:line="360" w:lineRule="auto"/>
        <w:rPr>
          <w:rFonts w:ascii="Symbol" w:cs="Symbol" w:eastAsia="Symbol" w:hAnsi="Symbol"/>
          <w:sz w:val="24"/>
          <w:szCs w:val="24"/>
          <w:color w:val="auto"/>
        </w:rPr>
      </w:pPr>
      <w:r>
        <w:rPr>
          <w:rFonts w:ascii="Cambria" w:cs="Cambria" w:eastAsia="Cambria" w:hAnsi="Cambria"/>
          <w:sz w:val="24"/>
          <w:szCs w:val="24"/>
          <w:color w:val="auto"/>
        </w:rPr>
        <w:t>This reliance solely on historical records as a basis for firm reuse demand is unnecessarily restrictive. The engineering community that prepares TLAP applications already has experience with water balance methods to estimate irrigation demand. Those same water balance methods could be applied to estimate beneficial reuse firm demand and the results would be at least as good, and likely better, than actual use records during dry periods.</w:t>
      </w:r>
    </w:p>
    <w:p>
      <w:pPr>
        <w:spacing w:after="0" w:line="242" w:lineRule="exact"/>
        <w:rPr>
          <w:rFonts w:ascii="Symbol" w:cs="Symbol" w:eastAsia="Symbol" w:hAnsi="Symbol"/>
          <w:sz w:val="24"/>
          <w:szCs w:val="24"/>
          <w:color w:val="auto"/>
        </w:rPr>
      </w:pPr>
    </w:p>
    <w:p>
      <w:pPr>
        <w:ind w:left="740" w:right="120"/>
        <w:spacing w:after="0" w:line="359" w:lineRule="auto"/>
        <w:rPr>
          <w:rFonts w:ascii="Symbol" w:cs="Symbol" w:eastAsia="Symbol" w:hAnsi="Symbol"/>
          <w:sz w:val="24"/>
          <w:szCs w:val="24"/>
          <w:color w:val="auto"/>
        </w:rPr>
      </w:pPr>
      <w:r>
        <w:rPr>
          <w:rFonts w:ascii="Cambria" w:cs="Cambria" w:eastAsia="Cambria" w:hAnsi="Cambria"/>
          <w:sz w:val="24"/>
          <w:szCs w:val="24"/>
          <w:color w:val="auto"/>
        </w:rPr>
        <w:t>Firm demand based on a water balance instead of historical use records would make the benefits of the proposed rule available to new wastewater facilities. It should not, however, eliminate the requirement for good record keeping regarding the daily volume of water supplied to each user and the beneficial use, including the size of irrigated areas.</w:t>
      </w:r>
    </w:p>
    <w:p>
      <w:pPr>
        <w:spacing w:after="0" w:line="260" w:lineRule="exact"/>
        <w:rPr>
          <w:rFonts w:ascii="Symbol" w:cs="Symbol" w:eastAsia="Symbol" w:hAnsi="Symbol"/>
          <w:sz w:val="24"/>
          <w:szCs w:val="24"/>
          <w:color w:val="auto"/>
        </w:rPr>
      </w:pPr>
    </w:p>
    <w:p>
      <w:pPr>
        <w:ind w:left="740" w:right="100" w:hanging="360"/>
        <w:spacing w:after="0" w:line="355" w:lineRule="auto"/>
        <w:tabs>
          <w:tab w:leader="none" w:pos="740" w:val="left"/>
        </w:tabs>
        <w:numPr>
          <w:ilvl w:val="0"/>
          <w:numId w:val="5"/>
        </w:numPr>
        <w:rPr>
          <w:rFonts w:ascii="Symbol" w:cs="Symbol" w:eastAsia="Symbol" w:hAnsi="Symbol"/>
          <w:sz w:val="24"/>
          <w:szCs w:val="24"/>
          <w:color w:val="auto"/>
        </w:rPr>
      </w:pPr>
      <w:r>
        <w:rPr>
          <w:rFonts w:ascii="Cambria" w:cs="Cambria" w:eastAsia="Cambria" w:hAnsi="Cambria"/>
          <w:sz w:val="24"/>
          <w:szCs w:val="24"/>
          <w:b w:val="1"/>
          <w:bCs w:val="1"/>
          <w:color w:val="auto"/>
        </w:rPr>
        <w:t xml:space="preserve">Surface water monitoring. </w:t>
      </w:r>
      <w:r>
        <w:rPr>
          <w:rFonts w:ascii="Cambria" w:cs="Cambria" w:eastAsia="Cambria" w:hAnsi="Cambria"/>
          <w:sz w:val="24"/>
          <w:szCs w:val="24"/>
          <w:color w:val="auto"/>
        </w:rPr>
        <w:t>Wastewater effluent permits that allow for reuse</w:t>
      </w:r>
      <w:r>
        <w:rPr>
          <w:rFonts w:ascii="Cambria" w:cs="Cambria" w:eastAsia="Cambria" w:hAnsi="Cambria"/>
          <w:sz w:val="24"/>
          <w:szCs w:val="24"/>
          <w:b w:val="1"/>
          <w:bCs w:val="1"/>
          <w:color w:val="auto"/>
        </w:rPr>
        <w:t xml:space="preserve"> </w:t>
      </w:r>
      <w:r>
        <w:rPr>
          <w:rFonts w:ascii="Cambria" w:cs="Cambria" w:eastAsia="Cambria" w:hAnsi="Cambria"/>
          <w:sz w:val="24"/>
          <w:szCs w:val="24"/>
          <w:color w:val="auto"/>
        </w:rPr>
        <w:t>should include a requirement to monitor surface water downstream from beneficial reuse areas to verify that there is no surface water quality degradation. The City of Austin’s study of surface water quality downstream from reclaimed water irrigation areas provides a useful modeling for such monitoring.</w:t>
      </w:r>
    </w:p>
    <w:p>
      <w:pPr>
        <w:sectPr>
          <w:pgSz w:w="12240" w:h="15840" w:orient="portrait"/>
          <w:cols w:equalWidth="0" w:num="1">
            <w:col w:w="9420"/>
          </w:cols>
          <w:pgMar w:left="1420" w:top="718" w:right="1400" w:bottom="141" w:gutter="0" w:footer="0" w:header="0"/>
        </w:sectPr>
      </w:pPr>
    </w:p>
    <w:p>
      <w:pPr>
        <w:spacing w:after="0" w:line="127" w:lineRule="exact"/>
        <w:rPr>
          <w:sz w:val="20"/>
          <w:szCs w:val="20"/>
          <w:color w:val="auto"/>
        </w:rPr>
      </w:pPr>
    </w:p>
    <w:tbl>
      <w:tblPr>
        <w:tblLayout w:type="fixed"/>
        <w:tblInd w:w="0" w:type="dxa"/>
        <w:tblCellMar>
          <w:top w:w="0" w:type="dxa"/>
          <w:left w:w="0" w:type="dxa"/>
          <w:bottom w:w="0" w:type="dxa"/>
          <w:right w:w="0" w:type="dxa"/>
        </w:tblCellMar>
      </w:tblPr>
      <w:tr>
        <w:trPr>
          <w:trHeight w:val="69"/>
        </w:trPr>
        <w:tc>
          <w:tcPr>
            <w:tcW w:w="6560" w:type="dxa"/>
            <w:vAlign w:val="bottom"/>
            <w:tcBorders>
              <w:bottom w:val="single" w:sz="8" w:color="1F497D"/>
            </w:tcBorders>
            <w:shd w:val="clear" w:color="auto" w:fill="1F497D"/>
          </w:tcPr>
          <w:p>
            <w:pPr>
              <w:spacing w:after="0"/>
              <w:rPr>
                <w:sz w:val="5"/>
                <w:szCs w:val="5"/>
                <w:color w:val="auto"/>
              </w:rPr>
            </w:pPr>
          </w:p>
        </w:tc>
        <w:tc>
          <w:tcPr>
            <w:tcW w:w="2860" w:type="dxa"/>
            <w:vAlign w:val="bottom"/>
            <w:tcBorders>
              <w:bottom w:val="single" w:sz="8" w:color="1F497D"/>
            </w:tcBorders>
            <w:shd w:val="clear" w:color="auto" w:fill="1F497D"/>
          </w:tcPr>
          <w:p>
            <w:pPr>
              <w:spacing w:after="0"/>
              <w:rPr>
                <w:sz w:val="5"/>
                <w:szCs w:val="5"/>
                <w:color w:val="auto"/>
              </w:rPr>
            </w:pPr>
          </w:p>
        </w:tc>
      </w:tr>
      <w:tr>
        <w:trPr>
          <w:trHeight w:val="276"/>
        </w:trPr>
        <w:tc>
          <w:tcPr>
            <w:tcW w:w="6560" w:type="dxa"/>
            <w:vAlign w:val="bottom"/>
          </w:tcPr>
          <w:p>
            <w:pPr>
              <w:ind w:left="20"/>
              <w:spacing w:after="0"/>
              <w:rPr>
                <w:sz w:val="20"/>
                <w:szCs w:val="20"/>
                <w:color w:val="auto"/>
              </w:rPr>
            </w:pPr>
            <w:r>
              <w:rPr>
                <w:rFonts w:ascii="Cambria" w:cs="Cambria" w:eastAsia="Cambria" w:hAnsi="Cambria"/>
                <w:sz w:val="22"/>
                <w:szCs w:val="22"/>
                <w:i w:val="1"/>
                <w:iCs w:val="1"/>
                <w:color w:val="4D64AA"/>
              </w:rPr>
              <w:t>Glenrose Engineering, Inc.</w:t>
            </w:r>
          </w:p>
        </w:tc>
        <w:tc>
          <w:tcPr>
            <w:tcW w:w="2860" w:type="dxa"/>
            <w:vAlign w:val="bottom"/>
          </w:tcPr>
          <w:p>
            <w:pPr>
              <w:ind w:left="1620"/>
              <w:spacing w:after="0"/>
              <w:rPr>
                <w:sz w:val="20"/>
                <w:szCs w:val="20"/>
                <w:color w:val="auto"/>
              </w:rPr>
            </w:pPr>
            <w:r>
              <w:rPr>
                <w:rFonts w:ascii="Cambria" w:cs="Cambria" w:eastAsia="Cambria" w:hAnsi="Cambria"/>
                <w:sz w:val="22"/>
                <w:szCs w:val="22"/>
                <w:i w:val="1"/>
                <w:iCs w:val="1"/>
                <w:color w:val="4D64AA"/>
              </w:rPr>
              <w:t>glenrose.com</w:t>
            </w:r>
          </w:p>
        </w:tc>
      </w:tr>
      <w:tr>
        <w:trPr>
          <w:trHeight w:val="258"/>
        </w:trPr>
        <w:tc>
          <w:tcPr>
            <w:tcW w:w="6560" w:type="dxa"/>
            <w:vAlign w:val="bottom"/>
          </w:tcPr>
          <w:p>
            <w:pPr>
              <w:ind w:left="20"/>
              <w:spacing w:after="0"/>
              <w:rPr>
                <w:sz w:val="20"/>
                <w:szCs w:val="20"/>
                <w:color w:val="auto"/>
              </w:rPr>
            </w:pPr>
            <w:r>
              <w:rPr>
                <w:rFonts w:ascii="Cambria" w:cs="Cambria" w:eastAsia="Cambria" w:hAnsi="Cambria"/>
                <w:sz w:val="22"/>
                <w:szCs w:val="22"/>
                <w:i w:val="1"/>
                <w:iCs w:val="1"/>
                <w:color w:val="4D64AA"/>
              </w:rPr>
              <w:t>Texas Board of Professional Engineers Number F4092</w:t>
            </w:r>
          </w:p>
        </w:tc>
        <w:tc>
          <w:tcPr>
            <w:tcW w:w="2860" w:type="dxa"/>
            <w:vAlign w:val="bottom"/>
          </w:tcPr>
          <w:p>
            <w:pPr>
              <w:spacing w:after="0"/>
              <w:rPr>
                <w:sz w:val="22"/>
                <w:szCs w:val="22"/>
                <w:color w:val="auto"/>
              </w:rPr>
            </w:pPr>
          </w:p>
        </w:tc>
      </w:tr>
    </w:tbl>
    <w:p>
      <w:pPr>
        <w:sectPr>
          <w:pgSz w:w="12240" w:h="15840" w:orient="portrait"/>
          <w:cols w:equalWidth="0" w:num="1">
            <w:col w:w="9420"/>
          </w:cols>
          <w:pgMar w:left="1420" w:top="718" w:right="1400" w:bottom="141" w:gutter="0" w:footer="0" w:header="0"/>
          <w:type w:val="continuous"/>
        </w:sectPr>
      </w:pPr>
    </w:p>
    <w:bookmarkStart w:id="6" w:name="page7"/>
    <w:bookmarkEnd w:id="6"/>
    <w:p>
      <w:pPr>
        <w:ind w:left="20"/>
        <w:spacing w:after="0"/>
        <w:rPr>
          <w:sz w:val="20"/>
          <w:szCs w:val="20"/>
          <w:color w:val="auto"/>
        </w:rPr>
      </w:pPr>
      <w:r>
        <w:rPr>
          <w:rFonts w:ascii="Cambria" w:cs="Cambria" w:eastAsia="Cambria" w:hAnsi="Cambria"/>
          <w:sz w:val="24"/>
          <w:szCs w:val="24"/>
          <w:b w:val="1"/>
          <w:bCs w:val="1"/>
          <w:i w:val="1"/>
          <w:iCs w:val="1"/>
          <w:color w:val="264D9A"/>
        </w:rPr>
        <w:t>Ms. Kris Hogan</w:t>
      </w:r>
    </w:p>
    <w:p>
      <w:pPr>
        <w:spacing w:after="0" w:line="43" w:lineRule="exact"/>
        <w:rPr>
          <w:sz w:val="20"/>
          <w:szCs w:val="20"/>
          <w:color w:val="auto"/>
        </w:rPr>
      </w:pPr>
    </w:p>
    <w:p>
      <w:pPr>
        <w:ind w:left="20"/>
        <w:spacing w:after="0"/>
        <w:rPr>
          <w:sz w:val="20"/>
          <w:szCs w:val="20"/>
          <w:color w:val="auto"/>
        </w:rPr>
      </w:pPr>
      <w:r>
        <w:rPr>
          <w:rFonts w:ascii="Cambria" w:cs="Cambria" w:eastAsia="Cambria" w:hAnsi="Cambria"/>
          <w:sz w:val="24"/>
          <w:szCs w:val="24"/>
          <w:b w:val="1"/>
          <w:bCs w:val="1"/>
          <w:i w:val="1"/>
          <w:iCs w:val="1"/>
          <w:color w:val="264D9A"/>
        </w:rPr>
        <w:t>July 26, 2019</w:t>
      </w:r>
    </w:p>
    <w:p>
      <w:pPr>
        <w:spacing w:after="0" w:line="43" w:lineRule="exact"/>
        <w:rPr>
          <w:sz w:val="20"/>
          <w:szCs w:val="20"/>
          <w:color w:val="auto"/>
        </w:rPr>
      </w:pPr>
    </w:p>
    <w:p>
      <w:pPr>
        <w:ind w:left="20"/>
        <w:spacing w:after="0"/>
        <w:rPr>
          <w:sz w:val="20"/>
          <w:szCs w:val="20"/>
          <w:color w:val="auto"/>
        </w:rPr>
      </w:pPr>
      <w:r>
        <w:rPr>
          <w:rFonts w:ascii="Cambria" w:cs="Cambria" w:eastAsia="Cambria" w:hAnsi="Cambria"/>
          <w:sz w:val="24"/>
          <w:szCs w:val="24"/>
          <w:b w:val="1"/>
          <w:bCs w:val="1"/>
          <w:i w:val="1"/>
          <w:iCs w:val="1"/>
          <w:color w:val="264D9A"/>
        </w:rPr>
        <w:t>Page 5 of 5</w:t>
      </w:r>
    </w:p>
    <w:p>
      <w:pPr>
        <w:spacing w:after="0" w:line="200" w:lineRule="exact"/>
        <w:rPr>
          <w:sz w:val="20"/>
          <w:szCs w:val="20"/>
          <w:color w:val="auto"/>
        </w:rPr>
      </w:pPr>
    </w:p>
    <w:p>
      <w:pPr>
        <w:spacing w:after="0" w:line="200" w:lineRule="exact"/>
        <w:rPr>
          <w:sz w:val="20"/>
          <w:szCs w:val="20"/>
          <w:color w:val="auto"/>
        </w:rPr>
      </w:pPr>
    </w:p>
    <w:p>
      <w:pPr>
        <w:spacing w:after="0" w:line="204" w:lineRule="exact"/>
        <w:rPr>
          <w:sz w:val="20"/>
          <w:szCs w:val="20"/>
          <w:color w:val="auto"/>
        </w:rPr>
      </w:pPr>
    </w:p>
    <w:p>
      <w:pPr>
        <w:jc w:val="both"/>
        <w:ind w:left="20" w:right="80"/>
        <w:spacing w:after="0" w:line="358" w:lineRule="auto"/>
        <w:rPr>
          <w:sz w:val="20"/>
          <w:szCs w:val="20"/>
          <w:color w:val="auto"/>
        </w:rPr>
      </w:pPr>
      <w:r>
        <w:rPr>
          <w:rFonts w:ascii="Cambria" w:cs="Cambria" w:eastAsia="Cambria" w:hAnsi="Cambria"/>
          <w:sz w:val="24"/>
          <w:szCs w:val="24"/>
          <w:color w:val="auto"/>
        </w:rPr>
        <w:t>Thank you for your work, and the work of all the TCEQ staff to protect water quality and to prepare a rule proposal that will improve and protect Texas rivers and streams. I am happy to answer any questions or offer clarifications to what I have written here.</w:t>
      </w:r>
    </w:p>
    <w:p>
      <w:pPr>
        <w:spacing w:after="0" w:line="244" w:lineRule="exact"/>
        <w:rPr>
          <w:sz w:val="20"/>
          <w:szCs w:val="20"/>
          <w:color w:val="auto"/>
        </w:rPr>
      </w:pPr>
    </w:p>
    <w:p>
      <w:pPr>
        <w:ind w:left="20"/>
        <w:spacing w:after="0"/>
        <w:rPr>
          <w:sz w:val="20"/>
          <w:szCs w:val="20"/>
          <w:color w:val="auto"/>
        </w:rPr>
      </w:pPr>
      <w:r>
        <w:rPr>
          <w:rFonts w:ascii="Cambria" w:cs="Cambria" w:eastAsia="Cambria" w:hAnsi="Cambria"/>
          <w:sz w:val="24"/>
          <w:szCs w:val="24"/>
          <w:color w:val="auto"/>
        </w:rPr>
        <w:t>Sincerely,</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12700</wp:posOffset>
            </wp:positionH>
            <wp:positionV relativeFrom="paragraph">
              <wp:posOffset>31750</wp:posOffset>
            </wp:positionV>
            <wp:extent cx="4117340" cy="11334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extLst>
                    </a:blip>
                    <a:srcRect/>
                    <a:stretch>
                      <a:fillRect/>
                    </a:stretch>
                  </pic:blipFill>
                  <pic:spPr bwMode="auto">
                    <a:xfrm>
                      <a:off x="0" y="0"/>
                      <a:ext cx="4117340" cy="1133475"/>
                    </a:xfrm>
                    <a:prstGeom prst="rect">
                      <a:avLst/>
                    </a:prstGeom>
                    <a:noFill/>
                  </pic:spPr>
                </pic:pic>
              </a:graphicData>
            </a:graphic>
          </wp:anchor>
        </w:drawing>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6" w:lineRule="exact"/>
        <w:rPr>
          <w:sz w:val="20"/>
          <w:szCs w:val="20"/>
          <w:color w:val="auto"/>
        </w:rPr>
      </w:pPr>
    </w:p>
    <w:p>
      <w:pPr>
        <w:ind w:left="20"/>
        <w:spacing w:after="0"/>
        <w:rPr>
          <w:sz w:val="20"/>
          <w:szCs w:val="20"/>
          <w:color w:val="auto"/>
        </w:rPr>
      </w:pPr>
      <w:r>
        <w:rPr>
          <w:rFonts w:ascii="Cambria" w:cs="Cambria" w:eastAsia="Cambria" w:hAnsi="Cambria"/>
          <w:sz w:val="24"/>
          <w:szCs w:val="24"/>
          <w:color w:val="auto"/>
        </w:rPr>
        <w:t>Lauren Ross, Ph. D., P. E.</w:t>
      </w:r>
    </w:p>
    <w:p>
      <w:pPr>
        <w:ind w:left="20"/>
        <w:spacing w:after="0"/>
        <w:rPr>
          <w:sz w:val="20"/>
          <w:szCs w:val="20"/>
          <w:color w:val="auto"/>
        </w:rPr>
      </w:pPr>
      <w:r>
        <w:rPr>
          <w:rFonts w:ascii="Cambria" w:cs="Cambria" w:eastAsia="Cambria" w:hAnsi="Cambria"/>
          <w:sz w:val="24"/>
          <w:szCs w:val="24"/>
          <w:color w:val="auto"/>
        </w:rPr>
        <w:t>President</w:t>
      </w:r>
    </w:p>
    <w:p>
      <w:pPr>
        <w:ind w:left="20"/>
        <w:spacing w:after="0" w:line="239" w:lineRule="auto"/>
        <w:rPr>
          <w:sz w:val="20"/>
          <w:szCs w:val="20"/>
          <w:color w:val="auto"/>
        </w:rPr>
      </w:pPr>
      <w:r>
        <w:rPr>
          <w:rFonts w:ascii="Cambria" w:cs="Cambria" w:eastAsia="Cambria" w:hAnsi="Cambria"/>
          <w:sz w:val="24"/>
          <w:szCs w:val="24"/>
          <w:color w:val="auto"/>
        </w:rPr>
        <w:t>Glenrose Engineering, Inc.</w:t>
      </w:r>
    </w:p>
    <w:p>
      <w:pPr>
        <w:spacing w:after="0" w:line="235" w:lineRule="exact"/>
        <w:rPr>
          <w:sz w:val="20"/>
          <w:szCs w:val="20"/>
          <w:color w:val="auto"/>
        </w:rPr>
      </w:pPr>
    </w:p>
    <w:p>
      <w:pPr>
        <w:ind w:left="4340"/>
        <w:spacing w:after="0"/>
        <w:rPr>
          <w:sz w:val="20"/>
          <w:szCs w:val="20"/>
          <w:color w:val="auto"/>
        </w:rPr>
      </w:pPr>
      <w:r>
        <w:rPr>
          <w:rFonts w:ascii="Cambria" w:cs="Cambria" w:eastAsia="Cambria" w:hAnsi="Cambria"/>
          <w:sz w:val="24"/>
          <w:szCs w:val="24"/>
          <w:color w:val="auto"/>
        </w:rPr>
        <w:t>Sealed on July 26, 2019</w:t>
      </w:r>
    </w:p>
    <w:p>
      <w:pPr>
        <w:sectPr>
          <w:pgSz w:w="12240" w:h="15840" w:orient="portrait"/>
          <w:cols w:equalWidth="0" w:num="1">
            <w:col w:w="9420"/>
          </w:cols>
          <w:pgMar w:left="1420" w:top="718" w:right="1400" w:bottom="141"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91" w:lineRule="exact"/>
        <w:rPr>
          <w:sz w:val="20"/>
          <w:szCs w:val="20"/>
          <w:color w:val="auto"/>
        </w:rPr>
      </w:pPr>
    </w:p>
    <w:tbl>
      <w:tblPr>
        <w:tblLayout w:type="fixed"/>
        <w:tblInd w:w="0" w:type="dxa"/>
        <w:tblCellMar>
          <w:top w:w="0" w:type="dxa"/>
          <w:left w:w="0" w:type="dxa"/>
          <w:bottom w:w="0" w:type="dxa"/>
          <w:right w:w="0" w:type="dxa"/>
        </w:tblCellMar>
      </w:tblPr>
      <w:tr>
        <w:trPr>
          <w:trHeight w:val="69"/>
        </w:trPr>
        <w:tc>
          <w:tcPr>
            <w:tcW w:w="6560" w:type="dxa"/>
            <w:vAlign w:val="bottom"/>
            <w:tcBorders>
              <w:bottom w:val="single" w:sz="8" w:color="1F497D"/>
            </w:tcBorders>
            <w:shd w:val="clear" w:color="auto" w:fill="1F497D"/>
          </w:tcPr>
          <w:p>
            <w:pPr>
              <w:spacing w:after="0"/>
              <w:rPr>
                <w:sz w:val="5"/>
                <w:szCs w:val="5"/>
                <w:color w:val="auto"/>
              </w:rPr>
            </w:pPr>
          </w:p>
        </w:tc>
        <w:tc>
          <w:tcPr>
            <w:tcW w:w="2860" w:type="dxa"/>
            <w:vAlign w:val="bottom"/>
            <w:tcBorders>
              <w:bottom w:val="single" w:sz="8" w:color="1F497D"/>
            </w:tcBorders>
            <w:shd w:val="clear" w:color="auto" w:fill="1F497D"/>
          </w:tcPr>
          <w:p>
            <w:pPr>
              <w:spacing w:after="0"/>
              <w:rPr>
                <w:sz w:val="5"/>
                <w:szCs w:val="5"/>
                <w:color w:val="auto"/>
              </w:rPr>
            </w:pPr>
          </w:p>
        </w:tc>
      </w:tr>
      <w:tr>
        <w:trPr>
          <w:trHeight w:val="276"/>
        </w:trPr>
        <w:tc>
          <w:tcPr>
            <w:tcW w:w="6560" w:type="dxa"/>
            <w:vAlign w:val="bottom"/>
          </w:tcPr>
          <w:p>
            <w:pPr>
              <w:ind w:left="20"/>
              <w:spacing w:after="0"/>
              <w:rPr>
                <w:sz w:val="20"/>
                <w:szCs w:val="20"/>
                <w:color w:val="auto"/>
              </w:rPr>
            </w:pPr>
            <w:r>
              <w:rPr>
                <w:rFonts w:ascii="Cambria" w:cs="Cambria" w:eastAsia="Cambria" w:hAnsi="Cambria"/>
                <w:sz w:val="22"/>
                <w:szCs w:val="22"/>
                <w:i w:val="1"/>
                <w:iCs w:val="1"/>
                <w:color w:val="4D64AA"/>
              </w:rPr>
              <w:t>Glenrose Engineering, Inc.</w:t>
            </w:r>
          </w:p>
        </w:tc>
        <w:tc>
          <w:tcPr>
            <w:tcW w:w="2860" w:type="dxa"/>
            <w:vAlign w:val="bottom"/>
          </w:tcPr>
          <w:p>
            <w:pPr>
              <w:ind w:left="1620"/>
              <w:spacing w:after="0"/>
              <w:rPr>
                <w:sz w:val="20"/>
                <w:szCs w:val="20"/>
                <w:color w:val="auto"/>
              </w:rPr>
            </w:pPr>
            <w:r>
              <w:rPr>
                <w:rFonts w:ascii="Cambria" w:cs="Cambria" w:eastAsia="Cambria" w:hAnsi="Cambria"/>
                <w:sz w:val="22"/>
                <w:szCs w:val="22"/>
                <w:i w:val="1"/>
                <w:iCs w:val="1"/>
                <w:color w:val="4D64AA"/>
              </w:rPr>
              <w:t>glenrose.com</w:t>
            </w:r>
          </w:p>
        </w:tc>
      </w:tr>
      <w:tr>
        <w:trPr>
          <w:trHeight w:val="258"/>
        </w:trPr>
        <w:tc>
          <w:tcPr>
            <w:tcW w:w="6560" w:type="dxa"/>
            <w:vAlign w:val="bottom"/>
          </w:tcPr>
          <w:p>
            <w:pPr>
              <w:ind w:left="20"/>
              <w:spacing w:after="0"/>
              <w:rPr>
                <w:sz w:val="20"/>
                <w:szCs w:val="20"/>
                <w:color w:val="auto"/>
              </w:rPr>
            </w:pPr>
            <w:r>
              <w:rPr>
                <w:rFonts w:ascii="Cambria" w:cs="Cambria" w:eastAsia="Cambria" w:hAnsi="Cambria"/>
                <w:sz w:val="22"/>
                <w:szCs w:val="22"/>
                <w:i w:val="1"/>
                <w:iCs w:val="1"/>
                <w:color w:val="4D64AA"/>
              </w:rPr>
              <w:t>Texas Board of Professional Engineers Number F4092</w:t>
            </w:r>
          </w:p>
        </w:tc>
        <w:tc>
          <w:tcPr>
            <w:tcW w:w="2860" w:type="dxa"/>
            <w:vAlign w:val="bottom"/>
          </w:tcPr>
          <w:p>
            <w:pPr>
              <w:spacing w:after="0"/>
              <w:rPr>
                <w:sz w:val="22"/>
                <w:szCs w:val="22"/>
                <w:color w:val="auto"/>
              </w:rPr>
            </w:pPr>
          </w:p>
        </w:tc>
      </w:tr>
    </w:tbl>
    <w:p>
      <w:pPr>
        <w:spacing w:after="0" w:line="1" w:lineRule="exact"/>
        <w:rPr>
          <w:sz w:val="20"/>
          <w:szCs w:val="20"/>
          <w:color w:val="auto"/>
        </w:rPr>
      </w:pPr>
    </w:p>
    <w:sectPr>
      <w:pgSz w:w="12240" w:h="15840" w:orient="portrait"/>
      <w:cols w:equalWidth="0" w:num="1">
        <w:col w:w="9420"/>
      </w:cols>
      <w:pgMar w:left="1420" w:top="718" w:right="1400" w:bottom="141" w:gutter="0" w:footer="0" w:header="0"/>
      <w:type w:val="continuous"/>
    </w:sectPr>
  </w:body>
</w:document>
</file>

<file path=word/fontTable.xml><?xml version="1.0" encoding="utf-8"?>
<w:font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2000009F" w:csb1="DFD70000"/>
  </w:font>
  <w:font w:name="Symbol">
    <w:panose1 w:val="05050102010706020507"/>
    <w:charset w:val="00"/>
    <w:family w:val="roman"/>
    <w:pitch w:val="variable"/>
    <w:sig w:usb0="00000000" w:usb1="00000000" w:usb2="00000000" w:usb3="00000000" w:csb0="80000000" w:csb1="00000000"/>
  </w:font>
</w:fonts>
</file>

<file path=word/numbering.xml><?xml version="1.0" encoding="utf-8"?>
<w:numbering xmlns:w="http://schemas.openxmlformats.org/wordprocessingml/2006/main">
  <w:abstractNum w:abstractNumId="0">
    <w:nsid w:val="6DF1"/>
    <w:multiLevelType w:val="hybridMultilevel"/>
    <w:lvl w:ilvl="0">
      <w:lvlJc w:val="left"/>
      <w:lvlText w:val="(%1)"/>
      <w:numFmt w:val="decimal"/>
      <w:start w:val="210"/>
    </w:lvl>
  </w:abstractNum>
  <w:abstractNum w:abstractNumId="1">
    <w:nsid w:val="5AF1"/>
    <w:multiLevelType w:val="hybridMultilevel"/>
    <w:lvl w:ilvl="0">
      <w:lvlJc w:val="left"/>
      <w:lvlText w:val="%1."/>
      <w:numFmt w:val="decimal"/>
      <w:start w:val="1"/>
    </w:lvl>
  </w:abstractNum>
  <w:abstractNum w:abstractNumId="2">
    <w:nsid w:val="41BB"/>
    <w:multiLevelType w:val="hybridMultilevel"/>
    <w:lvl w:ilvl="0">
      <w:lvlJc w:val="left"/>
      <w:lvlText w:val="%1."/>
      <w:numFmt w:val="decimal"/>
      <w:start w:val="5"/>
    </w:lvl>
  </w:abstractNum>
  <w:abstractNum w:abstractNumId="3">
    <w:nsid w:val="26E9"/>
    <w:multiLevelType w:val="hybridMultilevel"/>
    <w:lvl w:ilvl="0">
      <w:lvlJc w:val="left"/>
      <w:lvlText w:val="•"/>
      <w:numFmt w:val="bullet"/>
      <w:start w:val="1"/>
    </w:lvl>
  </w:abstractNum>
  <w:abstractNum w:abstractNumId="4">
    <w:nsid w:val="1EB"/>
    <w:multiLevelType w:val="hybridMultilevel"/>
    <w:lvl w:ilvl="0">
      <w:lvlJc w:val="left"/>
      <w:lvlText w:val="•"/>
      <w:numFmt w:val="bullet"/>
      <w:start w:val="1"/>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eastAsiaTheme="minorEastAsia"/>
        <w:sz w:val="22"/>
        <w:szCs w:val="22"/>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Layout w:type="fixed"/>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numbering" Target="numbering.xm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image" Target="media/image3.jpeg"/><Relationship Id="rId11" Type="http://schemas.openxmlformats.org/officeDocument/2006/relationships/image" Target="media/image4.png"/></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2019-07-30T13:11:34Z</dcterms:created>
  <dcterms:modified xsi:type="dcterms:W3CDTF">2019-07-30T13:11:34Z</dcterms:modified>
</cp:coreProperties>
</file>