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7E08AF" w14:textId="371A83F0" w:rsidR="001F3E2C" w:rsidRDefault="00675506" w:rsidP="00807BF0">
      <w:pPr>
        <w:spacing w:after="0" w:line="240" w:lineRule="auto"/>
        <w:jc w:val="center"/>
        <w:outlineLvl w:val="0"/>
        <w:rPr>
          <w:b/>
          <w:bCs/>
          <w:sz w:val="28"/>
          <w:szCs w:val="28"/>
        </w:rPr>
      </w:pPr>
      <w:r>
        <w:rPr>
          <w:b/>
          <w:bCs/>
          <w:sz w:val="28"/>
          <w:szCs w:val="28"/>
        </w:rPr>
        <w:t xml:space="preserve">The </w:t>
      </w:r>
      <w:r w:rsidR="001F3E2C" w:rsidRPr="00675506">
        <w:rPr>
          <w:b/>
          <w:bCs/>
          <w:sz w:val="28"/>
          <w:szCs w:val="28"/>
        </w:rPr>
        <w:t>Texas Hill Country Exchange (</w:t>
      </w:r>
      <w:r w:rsidR="00807BF0">
        <w:rPr>
          <w:b/>
          <w:bCs/>
          <w:sz w:val="28"/>
          <w:szCs w:val="28"/>
        </w:rPr>
        <w:t>TXHCX</w:t>
      </w:r>
      <w:r w:rsidR="001F3E2C" w:rsidRPr="00675506">
        <w:rPr>
          <w:b/>
          <w:bCs/>
          <w:sz w:val="28"/>
          <w:szCs w:val="28"/>
        </w:rPr>
        <w:t>)</w:t>
      </w:r>
      <w:r>
        <w:rPr>
          <w:b/>
          <w:bCs/>
          <w:sz w:val="28"/>
          <w:szCs w:val="28"/>
        </w:rPr>
        <w:t>:  A Proposal</w:t>
      </w:r>
    </w:p>
    <w:p w14:paraId="7AF59FA9" w14:textId="2E55442E" w:rsidR="0017715B" w:rsidRPr="0017715B" w:rsidRDefault="0017715B" w:rsidP="0017715B">
      <w:pPr>
        <w:spacing w:after="0" w:line="240" w:lineRule="auto"/>
        <w:jc w:val="center"/>
        <w:rPr>
          <w:sz w:val="28"/>
          <w:szCs w:val="28"/>
        </w:rPr>
      </w:pPr>
      <w:r w:rsidRPr="0017715B">
        <w:rPr>
          <w:sz w:val="28"/>
          <w:szCs w:val="28"/>
        </w:rPr>
        <w:t>By Jim Blackburn</w:t>
      </w:r>
    </w:p>
    <w:p w14:paraId="2503BD66" w14:textId="1B85B352" w:rsidR="001F3E2C" w:rsidRDefault="001F3E2C">
      <w:pPr>
        <w:rPr>
          <w:sz w:val="28"/>
          <w:szCs w:val="28"/>
        </w:rPr>
      </w:pPr>
    </w:p>
    <w:p w14:paraId="7F646BD9" w14:textId="6140F897" w:rsidR="00DB4A9E" w:rsidRPr="008C67CE" w:rsidRDefault="00DB4A9E" w:rsidP="00807BF0">
      <w:pPr>
        <w:ind w:firstLine="720"/>
        <w:rPr>
          <w:rFonts w:ascii="Calibri" w:hAnsi="Calibri"/>
          <w:b/>
          <w:bCs/>
          <w:color w:val="000000"/>
          <w:sz w:val="28"/>
          <w:szCs w:val="28"/>
        </w:rPr>
      </w:pPr>
      <w:r w:rsidRPr="008C67CE">
        <w:rPr>
          <w:rFonts w:ascii="Calibri" w:hAnsi="Calibri"/>
          <w:b/>
          <w:bCs/>
          <w:color w:val="000000"/>
          <w:sz w:val="28"/>
          <w:szCs w:val="28"/>
        </w:rPr>
        <w:t>Executive Summary:</w:t>
      </w:r>
    </w:p>
    <w:p w14:paraId="4433D77E" w14:textId="0F446735" w:rsidR="00807BF0" w:rsidRDefault="00807BF0" w:rsidP="00807BF0">
      <w:pPr>
        <w:ind w:firstLine="720"/>
        <w:rPr>
          <w:rFonts w:ascii="Calibri" w:hAnsi="Calibri"/>
          <w:color w:val="000000"/>
        </w:rPr>
      </w:pPr>
      <w:r>
        <w:rPr>
          <w:rFonts w:ascii="Calibri" w:hAnsi="Calibri"/>
          <w:color w:val="000000"/>
          <w:sz w:val="28"/>
          <w:szCs w:val="28"/>
        </w:rPr>
        <w:t>The Trinity Edwards Springs Protection Association (TESPA) is proposing to join with the Greater Edwards Aquifer Alliance (GEAA) to develop the Texas Hill Country Exchange (TXHCX).  TXHCX is a system that will use funds donated by those wanting to offset their carbon footprint to pay landowners for owning, restoring and maintaining ecological systems</w:t>
      </w:r>
      <w:r w:rsidR="00210477">
        <w:rPr>
          <w:rFonts w:ascii="Calibri" w:hAnsi="Calibri"/>
          <w:color w:val="000000"/>
          <w:sz w:val="28"/>
          <w:szCs w:val="28"/>
        </w:rPr>
        <w:t xml:space="preserve">.  Similarly, those wanting to protect spring and river flows and endangered species will have a similar opportunity. </w:t>
      </w:r>
      <w:r>
        <w:rPr>
          <w:rFonts w:ascii="Calibri" w:hAnsi="Calibri"/>
          <w:color w:val="000000"/>
          <w:sz w:val="28"/>
          <w:szCs w:val="28"/>
        </w:rPr>
        <w:t> </w:t>
      </w:r>
    </w:p>
    <w:p w14:paraId="13DEC96E" w14:textId="627F2E06" w:rsidR="00807BF0" w:rsidRDefault="00807BF0" w:rsidP="00807BF0">
      <w:pPr>
        <w:ind w:firstLine="720"/>
        <w:rPr>
          <w:rFonts w:ascii="Calibri" w:hAnsi="Calibri"/>
          <w:color w:val="000000"/>
        </w:rPr>
      </w:pPr>
      <w:r>
        <w:rPr>
          <w:rFonts w:ascii="Calibri" w:hAnsi="Calibri"/>
          <w:color w:val="000000"/>
          <w:sz w:val="28"/>
          <w:szCs w:val="28"/>
        </w:rPr>
        <w:t>This "nature based solution” is modeled after the Texas Coastal Exchange (</w:t>
      </w:r>
      <w:hyperlink r:id="rId7" w:history="1">
        <w:r>
          <w:rPr>
            <w:rStyle w:val="Hyperlink"/>
            <w:rFonts w:ascii="Calibri" w:hAnsi="Calibri"/>
            <w:sz w:val="28"/>
            <w:szCs w:val="28"/>
          </w:rPr>
          <w:t>https://www.texascoastalexchange.org/</w:t>
        </w:r>
      </w:hyperlink>
      <w:r>
        <w:rPr>
          <w:rFonts w:ascii="Calibri" w:hAnsi="Calibri"/>
          <w:color w:val="000000"/>
          <w:sz w:val="28"/>
          <w:szCs w:val="28"/>
        </w:rPr>
        <w:t>) that has been developing a carbon dioxide removal and storage system on the Texas coast since 2018.  </w:t>
      </w:r>
    </w:p>
    <w:p w14:paraId="33793D5F" w14:textId="77777777" w:rsidR="00807BF0" w:rsidRDefault="00807BF0" w:rsidP="00807BF0">
      <w:pPr>
        <w:ind w:firstLine="720"/>
        <w:outlineLvl w:val="0"/>
        <w:rPr>
          <w:rFonts w:ascii="Calibri" w:hAnsi="Calibri"/>
          <w:color w:val="000000"/>
        </w:rPr>
      </w:pPr>
      <w:r>
        <w:rPr>
          <w:rFonts w:ascii="Calibri" w:hAnsi="Calibri"/>
          <w:color w:val="000000"/>
          <w:sz w:val="28"/>
          <w:szCs w:val="28"/>
        </w:rPr>
        <w:t>The benefits of this strategy include: </w:t>
      </w:r>
    </w:p>
    <w:p w14:paraId="53F72A63" w14:textId="4E3807A3" w:rsidR="00807BF0" w:rsidRPr="008C67CE" w:rsidRDefault="00807BF0" w:rsidP="00807BF0">
      <w:pPr>
        <w:ind w:firstLine="720"/>
        <w:outlineLvl w:val="0"/>
        <w:rPr>
          <w:rFonts w:ascii="Calibri" w:hAnsi="Calibri"/>
          <w:color w:val="000000"/>
          <w:sz w:val="28"/>
          <w:szCs w:val="28"/>
        </w:rPr>
      </w:pPr>
      <w:r w:rsidRPr="008C67CE">
        <w:rPr>
          <w:rFonts w:ascii="Calibri" w:hAnsi="Calibri"/>
          <w:color w:val="000000"/>
          <w:sz w:val="28"/>
          <w:szCs w:val="28"/>
        </w:rPr>
        <w:t xml:space="preserve">Protects springs, groundwater, </w:t>
      </w:r>
      <w:r w:rsidR="00DB4A9E">
        <w:rPr>
          <w:rFonts w:ascii="Calibri" w:hAnsi="Calibri"/>
          <w:color w:val="000000"/>
          <w:sz w:val="28"/>
          <w:szCs w:val="28"/>
        </w:rPr>
        <w:t>a</w:t>
      </w:r>
      <w:r w:rsidRPr="008C67CE">
        <w:rPr>
          <w:rFonts w:ascii="Calibri" w:hAnsi="Calibri"/>
          <w:color w:val="000000"/>
          <w:sz w:val="28"/>
          <w:szCs w:val="28"/>
        </w:rPr>
        <w:t>quifer recharge and endangered species</w:t>
      </w:r>
    </w:p>
    <w:p w14:paraId="4D269EEE" w14:textId="007ECC5C" w:rsidR="00807BF0" w:rsidRPr="008C67CE" w:rsidRDefault="00807BF0" w:rsidP="00807BF0">
      <w:pPr>
        <w:outlineLvl w:val="0"/>
        <w:rPr>
          <w:rFonts w:ascii="Calibri" w:hAnsi="Calibri"/>
          <w:color w:val="000000"/>
          <w:sz w:val="28"/>
          <w:szCs w:val="28"/>
        </w:rPr>
      </w:pPr>
      <w:r w:rsidRPr="008C67CE">
        <w:rPr>
          <w:rStyle w:val="apple-tab-span"/>
          <w:rFonts w:ascii="Calibri" w:hAnsi="Calibri"/>
          <w:color w:val="000000"/>
          <w:sz w:val="28"/>
          <w:szCs w:val="28"/>
        </w:rPr>
        <w:t>            </w:t>
      </w:r>
      <w:r w:rsidRPr="008C67CE">
        <w:rPr>
          <w:rFonts w:ascii="Calibri" w:hAnsi="Calibri"/>
          <w:color w:val="000000"/>
          <w:sz w:val="28"/>
          <w:szCs w:val="28"/>
        </w:rPr>
        <w:t>Strengthens erosion control </w:t>
      </w:r>
    </w:p>
    <w:p w14:paraId="15E10DA0" w14:textId="1B728785" w:rsidR="00807BF0" w:rsidRPr="008C67CE" w:rsidRDefault="00807BF0" w:rsidP="00807BF0">
      <w:pPr>
        <w:outlineLvl w:val="0"/>
        <w:rPr>
          <w:rFonts w:ascii="Calibri" w:hAnsi="Calibri"/>
          <w:color w:val="000000"/>
          <w:sz w:val="28"/>
          <w:szCs w:val="28"/>
        </w:rPr>
      </w:pPr>
      <w:r w:rsidRPr="008C67CE">
        <w:rPr>
          <w:rStyle w:val="apple-tab-span"/>
          <w:rFonts w:ascii="Calibri" w:hAnsi="Calibri"/>
          <w:color w:val="000000"/>
          <w:sz w:val="28"/>
          <w:szCs w:val="28"/>
        </w:rPr>
        <w:t>            </w:t>
      </w:r>
      <w:r w:rsidRPr="008C67CE">
        <w:rPr>
          <w:rFonts w:ascii="Calibri" w:hAnsi="Calibri"/>
          <w:color w:val="000000"/>
          <w:sz w:val="28"/>
          <w:szCs w:val="28"/>
        </w:rPr>
        <w:t>Provides a significant boost to rural economies</w:t>
      </w:r>
    </w:p>
    <w:p w14:paraId="564B46BF" w14:textId="77777777" w:rsidR="00807BF0" w:rsidRPr="008C67CE" w:rsidRDefault="00807BF0" w:rsidP="008C67CE">
      <w:pPr>
        <w:ind w:firstLine="720"/>
        <w:outlineLvl w:val="0"/>
        <w:rPr>
          <w:rFonts w:ascii="Calibri" w:hAnsi="Calibri"/>
          <w:color w:val="000000"/>
          <w:sz w:val="28"/>
          <w:szCs w:val="28"/>
        </w:rPr>
      </w:pPr>
      <w:r w:rsidRPr="008C67CE">
        <w:rPr>
          <w:rFonts w:ascii="Calibri" w:hAnsi="Calibri"/>
          <w:color w:val="000000"/>
          <w:sz w:val="28"/>
          <w:szCs w:val="28"/>
        </w:rPr>
        <w:t>Creates a new revenue stream for rural landowners both small and large</w:t>
      </w:r>
    </w:p>
    <w:p w14:paraId="019EC2B2" w14:textId="77777777" w:rsidR="00807BF0" w:rsidRPr="008C67CE" w:rsidRDefault="00807BF0" w:rsidP="008C67CE">
      <w:pPr>
        <w:ind w:firstLine="720"/>
        <w:outlineLvl w:val="0"/>
        <w:rPr>
          <w:rFonts w:ascii="Calibri" w:hAnsi="Calibri"/>
          <w:color w:val="000000"/>
          <w:sz w:val="28"/>
          <w:szCs w:val="28"/>
        </w:rPr>
      </w:pPr>
      <w:r w:rsidRPr="008C67CE">
        <w:rPr>
          <w:rFonts w:ascii="Calibri" w:hAnsi="Calibri"/>
          <w:color w:val="000000"/>
          <w:sz w:val="28"/>
          <w:szCs w:val="28"/>
        </w:rPr>
        <w:t>Completely voluntary, requires no tax or regulation</w:t>
      </w:r>
    </w:p>
    <w:p w14:paraId="6EE4BF00" w14:textId="755EA082" w:rsidR="00807BF0" w:rsidRPr="008C67CE" w:rsidRDefault="00807BF0" w:rsidP="008C67CE">
      <w:pPr>
        <w:ind w:firstLine="720"/>
        <w:outlineLvl w:val="0"/>
        <w:rPr>
          <w:rFonts w:ascii="Calibri" w:hAnsi="Calibri"/>
          <w:color w:val="000000"/>
          <w:sz w:val="28"/>
          <w:szCs w:val="28"/>
        </w:rPr>
      </w:pPr>
      <w:r w:rsidRPr="008C67CE">
        <w:rPr>
          <w:rFonts w:ascii="Calibri" w:hAnsi="Calibri"/>
          <w:color w:val="000000"/>
          <w:sz w:val="28"/>
          <w:szCs w:val="28"/>
        </w:rPr>
        <w:t>Is open to the public at an affordable price point</w:t>
      </w:r>
    </w:p>
    <w:p w14:paraId="6A4AD9E3" w14:textId="213395F9" w:rsidR="00807BF0" w:rsidRPr="008C67CE" w:rsidRDefault="00807BF0" w:rsidP="008C67CE">
      <w:pPr>
        <w:ind w:firstLine="720"/>
        <w:outlineLvl w:val="0"/>
        <w:rPr>
          <w:rFonts w:ascii="Calibri" w:hAnsi="Calibri"/>
          <w:color w:val="000000"/>
          <w:sz w:val="28"/>
          <w:szCs w:val="28"/>
        </w:rPr>
      </w:pPr>
      <w:r w:rsidRPr="008C67CE">
        <w:rPr>
          <w:rFonts w:ascii="Calibri" w:hAnsi="Calibri"/>
          <w:color w:val="000000"/>
          <w:sz w:val="28"/>
          <w:szCs w:val="28"/>
        </w:rPr>
        <w:t xml:space="preserve">Can be framed as Texans funding Texas conservation </w:t>
      </w:r>
    </w:p>
    <w:p w14:paraId="4264E51C" w14:textId="23073F0A" w:rsidR="00807BF0" w:rsidRPr="008C67CE" w:rsidRDefault="00807BF0" w:rsidP="00096AFA">
      <w:pPr>
        <w:ind w:firstLine="720"/>
        <w:outlineLvl w:val="0"/>
        <w:rPr>
          <w:rFonts w:ascii="Calibri" w:hAnsi="Calibri"/>
          <w:color w:val="000000"/>
        </w:rPr>
      </w:pPr>
      <w:r w:rsidRPr="008C67CE">
        <w:rPr>
          <w:rStyle w:val="apple-converted-space"/>
          <w:rFonts w:ascii="Calibri" w:hAnsi="Calibri"/>
          <w:color w:val="000000"/>
          <w:sz w:val="28"/>
          <w:szCs w:val="28"/>
        </w:rPr>
        <w:t> </w:t>
      </w:r>
      <w:r w:rsidRPr="008C67CE">
        <w:rPr>
          <w:rFonts w:ascii="Calibri" w:hAnsi="Calibri"/>
          <w:color w:val="000000"/>
          <w:sz w:val="28"/>
          <w:szCs w:val="28"/>
        </w:rPr>
        <w:t>A positive step towards addressing climate change in the Hill Country </w:t>
      </w:r>
      <w:r>
        <w:rPr>
          <w:rFonts w:ascii="Calibri" w:hAnsi="Calibri"/>
          <w:color w:val="000000"/>
        </w:rPr>
        <w:t> </w:t>
      </w:r>
    </w:p>
    <w:p w14:paraId="194AA63C" w14:textId="148DA55B" w:rsidR="00DB4A9E" w:rsidRPr="008C67CE" w:rsidRDefault="00DB4A9E" w:rsidP="001F3E2C">
      <w:pPr>
        <w:ind w:firstLine="720"/>
        <w:rPr>
          <w:b/>
          <w:bCs/>
          <w:sz w:val="28"/>
          <w:szCs w:val="28"/>
        </w:rPr>
      </w:pPr>
      <w:r w:rsidRPr="008C67CE">
        <w:rPr>
          <w:b/>
          <w:bCs/>
          <w:sz w:val="28"/>
          <w:szCs w:val="28"/>
        </w:rPr>
        <w:t>The Proposal:</w:t>
      </w:r>
    </w:p>
    <w:p w14:paraId="733D0C48" w14:textId="3E35998E" w:rsidR="001F3E2C" w:rsidRPr="00675506" w:rsidRDefault="001F3E2C" w:rsidP="001F3E2C">
      <w:pPr>
        <w:ind w:firstLine="720"/>
        <w:rPr>
          <w:sz w:val="28"/>
          <w:szCs w:val="28"/>
        </w:rPr>
      </w:pPr>
      <w:r w:rsidRPr="00675506">
        <w:rPr>
          <w:sz w:val="28"/>
          <w:szCs w:val="28"/>
        </w:rPr>
        <w:t>The Trinity Edwards Springs Protection Association (TESPA) is proposing to join with the Greater Edwards Aquifer Alliance (GEAA) to develop the Texas Hill Country Exchange (</w:t>
      </w:r>
      <w:r w:rsidR="00807BF0">
        <w:rPr>
          <w:sz w:val="28"/>
          <w:szCs w:val="28"/>
        </w:rPr>
        <w:t>TXHCX</w:t>
      </w:r>
      <w:r w:rsidRPr="00675506">
        <w:rPr>
          <w:sz w:val="28"/>
          <w:szCs w:val="28"/>
        </w:rPr>
        <w:t xml:space="preserve">).  </w:t>
      </w:r>
      <w:r w:rsidR="00807BF0">
        <w:rPr>
          <w:sz w:val="28"/>
          <w:szCs w:val="28"/>
        </w:rPr>
        <w:t>TXHCX</w:t>
      </w:r>
      <w:r w:rsidRPr="00675506">
        <w:rPr>
          <w:sz w:val="28"/>
          <w:szCs w:val="28"/>
        </w:rPr>
        <w:t xml:space="preserve"> is a system that will pay landowners for owning, restoring and maintaining ecological systems that contribute to societal goals such as carbon dioxide removal from the atmosphere, protection of springs and groundwater and protection of endangered species.  This system is based on </w:t>
      </w:r>
      <w:r w:rsidRPr="00675506">
        <w:rPr>
          <w:sz w:val="28"/>
          <w:szCs w:val="28"/>
        </w:rPr>
        <w:lastRenderedPageBreak/>
        <w:t>the Texas Coastal Exchange (</w:t>
      </w:r>
      <w:hyperlink r:id="rId8" w:history="1">
        <w:r w:rsidRPr="00675506">
          <w:rPr>
            <w:rStyle w:val="Hyperlink"/>
            <w:sz w:val="28"/>
            <w:szCs w:val="28"/>
          </w:rPr>
          <w:t>https://www.texascoastalexchange.org/</w:t>
        </w:r>
      </w:hyperlink>
      <w:r w:rsidRPr="00675506">
        <w:rPr>
          <w:sz w:val="28"/>
          <w:szCs w:val="28"/>
        </w:rPr>
        <w:t xml:space="preserve">) that has been developing a carbon dioxide removal and storage system on the Texas coast for the last two years.   </w:t>
      </w:r>
    </w:p>
    <w:p w14:paraId="3A6F4FF2" w14:textId="2950BC7F" w:rsidR="001F3E2C" w:rsidRPr="00675506" w:rsidRDefault="001F3E2C" w:rsidP="001F3E2C">
      <w:pPr>
        <w:ind w:firstLine="720"/>
        <w:rPr>
          <w:sz w:val="28"/>
          <w:szCs w:val="28"/>
        </w:rPr>
      </w:pPr>
      <w:r w:rsidRPr="00675506">
        <w:rPr>
          <w:sz w:val="28"/>
          <w:szCs w:val="28"/>
        </w:rPr>
        <w:t xml:space="preserve">The basic concept is that landowners who possess lands that provide these ecological services would receive “grants” from </w:t>
      </w:r>
      <w:r w:rsidR="00807BF0">
        <w:rPr>
          <w:sz w:val="28"/>
          <w:szCs w:val="28"/>
        </w:rPr>
        <w:t>TXHCX</w:t>
      </w:r>
      <w:r w:rsidRPr="00675506">
        <w:rPr>
          <w:sz w:val="28"/>
          <w:szCs w:val="28"/>
        </w:rPr>
        <w:t xml:space="preserve"> to protect important ecological features within the Hill Country landscape.  These “grants” would be funded by contributions from donors who might wish to sequester their carbon footprint, to protect springs and aquifers and/or protect the habitat of endangered species.  In exchange for these grants, the landowners would agree to leave the land or groundwater undisturbed for a period of ten years.  </w:t>
      </w:r>
    </w:p>
    <w:p w14:paraId="6B9BC4DA" w14:textId="195C1ACC" w:rsidR="001F3E2C" w:rsidRPr="00675506" w:rsidRDefault="001F3E2C" w:rsidP="001F3E2C">
      <w:pPr>
        <w:ind w:firstLine="720"/>
        <w:rPr>
          <w:sz w:val="28"/>
          <w:szCs w:val="28"/>
        </w:rPr>
      </w:pPr>
      <w:r w:rsidRPr="00675506">
        <w:rPr>
          <w:sz w:val="28"/>
          <w:szCs w:val="28"/>
        </w:rPr>
        <w:t xml:space="preserve">There are many decisions that need to be made going forward. First, there is a question as to what are the boundaries of the Hill Country for purposes of </w:t>
      </w:r>
      <w:r w:rsidR="00807BF0">
        <w:rPr>
          <w:sz w:val="28"/>
          <w:szCs w:val="28"/>
        </w:rPr>
        <w:t>TXHCX</w:t>
      </w:r>
      <w:r w:rsidRPr="00675506">
        <w:rPr>
          <w:sz w:val="28"/>
          <w:szCs w:val="28"/>
        </w:rPr>
        <w:t xml:space="preserve">?  In Figure 1, a proposed boundary is included that goes </w:t>
      </w:r>
      <w:r w:rsidR="00250F1B" w:rsidRPr="00675506">
        <w:rPr>
          <w:sz w:val="28"/>
          <w:szCs w:val="28"/>
        </w:rPr>
        <w:t>one county east of the Balcones escarpment in order to include some of the excellent black</w:t>
      </w:r>
      <w:r w:rsidR="00675506">
        <w:rPr>
          <w:sz w:val="28"/>
          <w:szCs w:val="28"/>
        </w:rPr>
        <w:t xml:space="preserve"> </w:t>
      </w:r>
      <w:r w:rsidR="00250F1B" w:rsidRPr="00675506">
        <w:rPr>
          <w:sz w:val="28"/>
          <w:szCs w:val="28"/>
        </w:rPr>
        <w:t xml:space="preserve">land prairie soils found in these counties which provide a contrast to the more rocky conditions within the Hill Country per se.  Additionally, the boundary goes one county south of San Antonio to insure the inclusion of the metropolitan areas in the exchange boundaries.  </w:t>
      </w:r>
    </w:p>
    <w:p w14:paraId="30899DDA" w14:textId="71D4074B" w:rsidR="00250F1B" w:rsidRPr="001A1D93" w:rsidRDefault="007F5AE1" w:rsidP="00250F1B">
      <w:pPr>
        <w:rPr>
          <w:sz w:val="28"/>
          <w:szCs w:val="28"/>
        </w:rPr>
      </w:pPr>
      <w:r>
        <w:rPr>
          <w:noProof/>
        </w:rPr>
        <w:drawing>
          <wp:inline distT="0" distB="0" distL="0" distR="0" wp14:anchorId="6E28C65A" wp14:editId="3B691ACC">
            <wp:extent cx="5943600" cy="3343275"/>
            <wp:effectExtent l="0" t="0" r="0"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9" cstate="print">
                      <a:extLst>
                        <a:ext uri="{28A0092B-C50C-407E-A947-70E740481C1C}">
                          <a14:useLocalDpi xmlns:a14="http://schemas.microsoft.com/office/drawing/2010/main" val="0"/>
                        </a:ext>
                      </a:extLst>
                    </a:blip>
                    <a:srcRect l="116" t="5511" r="-29" b="51062"/>
                    <a:stretch/>
                  </pic:blipFill>
                  <pic:spPr>
                    <a:xfrm>
                      <a:off x="0" y="0"/>
                      <a:ext cx="5943600" cy="3343275"/>
                    </a:xfrm>
                    <a:prstGeom prst="rect">
                      <a:avLst/>
                    </a:prstGeom>
                  </pic:spPr>
                </pic:pic>
              </a:graphicData>
            </a:graphic>
          </wp:inline>
        </w:drawing>
      </w:r>
    </w:p>
    <w:p w14:paraId="7485B1CC" w14:textId="7C8FBAE6" w:rsidR="00AE0CC9" w:rsidRPr="001A1D93" w:rsidRDefault="001A1D93" w:rsidP="00807BF0">
      <w:pPr>
        <w:outlineLvl w:val="0"/>
        <w:rPr>
          <w:sz w:val="28"/>
          <w:szCs w:val="28"/>
        </w:rPr>
      </w:pPr>
      <w:r w:rsidRPr="001A1D93">
        <w:rPr>
          <w:sz w:val="28"/>
          <w:szCs w:val="28"/>
        </w:rPr>
        <w:t>Figure 1.  Potential boundaries of Texas Hill Country Exchange</w:t>
      </w:r>
    </w:p>
    <w:p w14:paraId="2F807257" w14:textId="04894BF0" w:rsidR="001A1D93" w:rsidRDefault="001A1D93" w:rsidP="00250F1B">
      <w:pPr>
        <w:rPr>
          <w:sz w:val="28"/>
          <w:szCs w:val="28"/>
        </w:rPr>
      </w:pPr>
      <w:r>
        <w:rPr>
          <w:sz w:val="28"/>
          <w:szCs w:val="28"/>
        </w:rPr>
        <w:lastRenderedPageBreak/>
        <w:tab/>
      </w:r>
      <w:r w:rsidR="00FA77C1">
        <w:rPr>
          <w:sz w:val="28"/>
          <w:szCs w:val="28"/>
        </w:rPr>
        <w:t xml:space="preserve">From an ecological service standpoint, there are several types of ecological services that are worthy of preservation. The first of these is carbon sequestration.  </w:t>
      </w:r>
      <w:r w:rsidR="009A3910">
        <w:rPr>
          <w:sz w:val="28"/>
          <w:szCs w:val="28"/>
        </w:rPr>
        <w:t xml:space="preserve">Photosynthesis removes carbon dioxide from the atmosphere and stores it in the wood of trees and the roots and soil surrounding grassland plants.  </w:t>
      </w:r>
      <w:r w:rsidR="00FA77C1">
        <w:rPr>
          <w:sz w:val="28"/>
          <w:szCs w:val="28"/>
        </w:rPr>
        <w:t xml:space="preserve">Sequestration is provided by both the oak/juniper forest complex within the Hill Country, along riparian corridors and in the blackland prairie soils east of IH-35.  These three systems have the potential to provide at least one ton of carbon storage per acre per year, and literature values indicate that some may yield more than </w:t>
      </w:r>
      <w:r w:rsidR="009A3910">
        <w:rPr>
          <w:sz w:val="28"/>
          <w:szCs w:val="28"/>
        </w:rPr>
        <w:t xml:space="preserve">that amount.  </w:t>
      </w:r>
      <w:r w:rsidR="000260EC">
        <w:rPr>
          <w:sz w:val="28"/>
          <w:szCs w:val="28"/>
        </w:rPr>
        <w:t>Much work remains to be done to determine the potential yield and the geographic boundaries of these various ecosystems.  Figure 2 gives an approximate location of the</w:t>
      </w:r>
      <w:r w:rsidR="001A500D">
        <w:rPr>
          <w:sz w:val="28"/>
          <w:szCs w:val="28"/>
        </w:rPr>
        <w:t>se</w:t>
      </w:r>
      <w:r w:rsidR="000260EC">
        <w:rPr>
          <w:sz w:val="28"/>
          <w:szCs w:val="28"/>
        </w:rPr>
        <w:t xml:space="preserve"> various </w:t>
      </w:r>
      <w:r w:rsidR="001A500D">
        <w:rPr>
          <w:sz w:val="28"/>
          <w:szCs w:val="28"/>
        </w:rPr>
        <w:t>systems in a descriptive manner.  Much more detailed ecological information will be required to pin down the characteristics of these various systems</w:t>
      </w:r>
      <w:r w:rsidR="000260EC">
        <w:rPr>
          <w:sz w:val="28"/>
          <w:szCs w:val="28"/>
        </w:rPr>
        <w:t>.</w:t>
      </w:r>
    </w:p>
    <w:p w14:paraId="4B2C3B8E" w14:textId="51035549" w:rsidR="000260EC" w:rsidRDefault="000260EC" w:rsidP="00250F1B">
      <w:pPr>
        <w:rPr>
          <w:sz w:val="28"/>
          <w:szCs w:val="28"/>
        </w:rPr>
      </w:pPr>
    </w:p>
    <w:p w14:paraId="07EBAA03" w14:textId="21323B32" w:rsidR="007934C7" w:rsidRDefault="00F3246A" w:rsidP="00250F1B">
      <w:pPr>
        <w:rPr>
          <w:sz w:val="28"/>
          <w:szCs w:val="28"/>
        </w:rPr>
      </w:pPr>
      <w:r>
        <w:rPr>
          <w:noProof/>
        </w:rPr>
        <w:drawing>
          <wp:inline distT="0" distB="0" distL="0" distR="0" wp14:anchorId="1F15A2F7" wp14:editId="5A17912A">
            <wp:extent cx="4946650" cy="3913455"/>
            <wp:effectExtent l="0" t="0" r="635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10" cstate="print">
                      <a:extLst>
                        <a:ext uri="{28A0092B-C50C-407E-A947-70E740481C1C}">
                          <a14:useLocalDpi xmlns:a14="http://schemas.microsoft.com/office/drawing/2010/main" val="0"/>
                        </a:ext>
                      </a:extLst>
                    </a:blip>
                    <a:srcRect l="2642" t="7669" r="3688" b="35064"/>
                    <a:stretch/>
                  </pic:blipFill>
                  <pic:spPr>
                    <a:xfrm>
                      <a:off x="0" y="0"/>
                      <a:ext cx="4951944" cy="3917644"/>
                    </a:xfrm>
                    <a:prstGeom prst="rect">
                      <a:avLst/>
                    </a:prstGeom>
                  </pic:spPr>
                </pic:pic>
              </a:graphicData>
            </a:graphic>
          </wp:inline>
        </w:drawing>
      </w:r>
    </w:p>
    <w:p w14:paraId="70119213" w14:textId="2BCC849F" w:rsidR="007934C7" w:rsidRDefault="001A500D" w:rsidP="00250F1B">
      <w:pPr>
        <w:rPr>
          <w:sz w:val="28"/>
          <w:szCs w:val="28"/>
        </w:rPr>
      </w:pPr>
      <w:r>
        <w:rPr>
          <w:sz w:val="28"/>
          <w:szCs w:val="28"/>
        </w:rPr>
        <w:t>Figure 2.  Cropland data identifying both forested areas and grasslands and croplands.  Source:  Texas Tech University, Center for Geospatial Technology.</w:t>
      </w:r>
    </w:p>
    <w:p w14:paraId="2BE0F41D" w14:textId="7D7CC299" w:rsidR="007934C7" w:rsidRDefault="001A500D" w:rsidP="00250F1B">
      <w:pPr>
        <w:rPr>
          <w:sz w:val="28"/>
          <w:szCs w:val="28"/>
        </w:rPr>
      </w:pPr>
      <w:r>
        <w:rPr>
          <w:sz w:val="28"/>
          <w:szCs w:val="28"/>
        </w:rPr>
        <w:lastRenderedPageBreak/>
        <w:tab/>
        <w:t xml:space="preserve">In addition to carbon sequestration, there is the water-related ecological service.  Here, the issue of concern is spring flows within watersheds.  Springs are the lifeblood of the Texas Hill Country. They are a major source of flow in the key rivers throughout the Hill Country, including the Guadalupe, the San Antonio, the Nueces, the Llano, the Pedernales, the Sabinal and the Blanco.  If the springs are lost, so is much of the flow during the critical summer period – flow needed for recreation, flow needed for endangered species, flow needed for downstream water supply.  </w:t>
      </w:r>
      <w:r w:rsidR="00EB2197">
        <w:rPr>
          <w:sz w:val="28"/>
          <w:szCs w:val="28"/>
        </w:rPr>
        <w:t xml:space="preserve">It is crazy that Texas law has not linked groundwater protection to surface water availability, but it has not.  Perhaps by creating a monetary value for protection of springs </w:t>
      </w:r>
      <w:r w:rsidR="00807BF0">
        <w:rPr>
          <w:sz w:val="28"/>
          <w:szCs w:val="28"/>
        </w:rPr>
        <w:t>TXHCX</w:t>
      </w:r>
      <w:r w:rsidR="00EB2197">
        <w:rPr>
          <w:sz w:val="28"/>
          <w:szCs w:val="28"/>
        </w:rPr>
        <w:t xml:space="preserve"> can create a means of protection currently lacking. </w:t>
      </w:r>
    </w:p>
    <w:p w14:paraId="66EB4E15" w14:textId="5120EEDB" w:rsidR="00EB2197" w:rsidRDefault="00EB2197" w:rsidP="00250F1B">
      <w:pPr>
        <w:rPr>
          <w:sz w:val="28"/>
          <w:szCs w:val="28"/>
        </w:rPr>
      </w:pPr>
      <w:r>
        <w:rPr>
          <w:sz w:val="28"/>
          <w:szCs w:val="28"/>
        </w:rPr>
        <w:tab/>
        <w:t>The proposed action relative to springs is straightforward.  Landowners surrounding major springs would be paid to not develop their groundwater – to leave it in place, to leave it in the ground to supply the springs year-round.  Under Texas law, the landowner owns his/her groundwater as a property right, and we propose to work with this concept of private property.  In this manner, value will accrue to good stewards who protect the springs.  The same could be done regard</w:t>
      </w:r>
      <w:r w:rsidR="00085EF8">
        <w:rPr>
          <w:sz w:val="28"/>
          <w:szCs w:val="28"/>
        </w:rPr>
        <w:t>ing</w:t>
      </w:r>
      <w:r>
        <w:rPr>
          <w:sz w:val="28"/>
          <w:szCs w:val="28"/>
        </w:rPr>
        <w:t xml:space="preserve"> aquifer recharge areas, although the initial priority would be to protect land adjacent to springs such </w:t>
      </w:r>
      <w:r w:rsidR="00546BB3">
        <w:rPr>
          <w:sz w:val="28"/>
          <w:szCs w:val="28"/>
        </w:rPr>
        <w:t xml:space="preserve">as </w:t>
      </w:r>
      <w:r>
        <w:rPr>
          <w:sz w:val="28"/>
          <w:szCs w:val="28"/>
        </w:rPr>
        <w:t xml:space="preserve">Jacob’s Well in Wimberley.  </w:t>
      </w:r>
      <w:r w:rsidR="00546BB3">
        <w:rPr>
          <w:sz w:val="28"/>
          <w:szCs w:val="28"/>
        </w:rPr>
        <w:t xml:space="preserve">There are also some interesting legal issues that such payments would raise, such as creation of value for in situ groundwater that is NOT intended to be developed which could be important in the creation of arguments regarding a potential “taking” of property by the actions of groundwater districts in issuing permits that have negative impacts on the groundwater surrounding springs.  </w:t>
      </w:r>
      <w:r w:rsidR="00F37542">
        <w:rPr>
          <w:sz w:val="28"/>
          <w:szCs w:val="28"/>
        </w:rPr>
        <w:t>A map of the springs of the Texas Hill Country is shown in Figure 3</w:t>
      </w:r>
      <w:r w:rsidR="00085EF8">
        <w:rPr>
          <w:sz w:val="28"/>
          <w:szCs w:val="28"/>
        </w:rPr>
        <w:t xml:space="preserve"> and a map of the various watersheds of the Hill Country is shown in Figure 4</w:t>
      </w:r>
      <w:r w:rsidR="00F37542">
        <w:rPr>
          <w:sz w:val="28"/>
          <w:szCs w:val="28"/>
        </w:rPr>
        <w:t xml:space="preserve">.  </w:t>
      </w:r>
    </w:p>
    <w:p w14:paraId="0D78993D" w14:textId="2B751A93" w:rsidR="00F37542" w:rsidRDefault="00A45DFC" w:rsidP="00250F1B">
      <w:pPr>
        <w:rPr>
          <w:sz w:val="28"/>
          <w:szCs w:val="28"/>
        </w:rPr>
      </w:pPr>
      <w:r>
        <w:rPr>
          <w:noProof/>
        </w:rPr>
        <w:lastRenderedPageBreak/>
        <w:drawing>
          <wp:inline distT="0" distB="0" distL="0" distR="0" wp14:anchorId="468954BD" wp14:editId="67B38C63">
            <wp:extent cx="5943600" cy="362204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1" cstate="print">
                      <a:extLst>
                        <a:ext uri="{28A0092B-C50C-407E-A947-70E740481C1C}">
                          <a14:useLocalDpi xmlns:a14="http://schemas.microsoft.com/office/drawing/2010/main" val="0"/>
                        </a:ext>
                      </a:extLst>
                    </a:blip>
                    <a:srcRect l="4368" t="5771" r="4703" b="51406"/>
                    <a:stretch/>
                  </pic:blipFill>
                  <pic:spPr>
                    <a:xfrm>
                      <a:off x="0" y="0"/>
                      <a:ext cx="5943600" cy="3622040"/>
                    </a:xfrm>
                    <a:prstGeom prst="rect">
                      <a:avLst/>
                    </a:prstGeom>
                  </pic:spPr>
                </pic:pic>
              </a:graphicData>
            </a:graphic>
          </wp:inline>
        </w:drawing>
      </w:r>
    </w:p>
    <w:p w14:paraId="3E3DC731" w14:textId="72E64964" w:rsidR="00085EF8" w:rsidRDefault="00085EF8" w:rsidP="00807BF0">
      <w:pPr>
        <w:outlineLvl w:val="0"/>
        <w:rPr>
          <w:sz w:val="28"/>
          <w:szCs w:val="28"/>
        </w:rPr>
      </w:pPr>
      <w:r>
        <w:rPr>
          <w:sz w:val="28"/>
          <w:szCs w:val="28"/>
        </w:rPr>
        <w:t>Figure 3.  Texas Hill Country springs.</w:t>
      </w:r>
    </w:p>
    <w:p w14:paraId="3AFFE845" w14:textId="3EAB9E64" w:rsidR="000260EC" w:rsidRDefault="00085EF8" w:rsidP="00250F1B">
      <w:pPr>
        <w:rPr>
          <w:sz w:val="28"/>
          <w:szCs w:val="28"/>
        </w:rPr>
      </w:pPr>
      <w:r>
        <w:rPr>
          <w:sz w:val="28"/>
          <w:szCs w:val="28"/>
        </w:rPr>
        <w:tab/>
      </w:r>
      <w:r w:rsidR="00A346B8">
        <w:rPr>
          <w:noProof/>
        </w:rPr>
        <w:drawing>
          <wp:inline distT="0" distB="0" distL="0" distR="0" wp14:anchorId="55688834" wp14:editId="3D174C90">
            <wp:extent cx="5943600" cy="3280410"/>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2" cstate="print">
                      <a:extLst>
                        <a:ext uri="{28A0092B-C50C-407E-A947-70E740481C1C}">
                          <a14:useLocalDpi xmlns:a14="http://schemas.microsoft.com/office/drawing/2010/main" val="0"/>
                        </a:ext>
                      </a:extLst>
                    </a:blip>
                    <a:srcRect t="6414" b="50936"/>
                    <a:stretch/>
                  </pic:blipFill>
                  <pic:spPr>
                    <a:xfrm>
                      <a:off x="0" y="0"/>
                      <a:ext cx="5943600" cy="3280410"/>
                    </a:xfrm>
                    <a:prstGeom prst="rect">
                      <a:avLst/>
                    </a:prstGeom>
                  </pic:spPr>
                </pic:pic>
              </a:graphicData>
            </a:graphic>
          </wp:inline>
        </w:drawing>
      </w:r>
    </w:p>
    <w:p w14:paraId="5339F09F" w14:textId="2E76514B" w:rsidR="00511CED" w:rsidRDefault="00511CED" w:rsidP="00250F1B">
      <w:pPr>
        <w:rPr>
          <w:sz w:val="28"/>
          <w:szCs w:val="28"/>
        </w:rPr>
      </w:pPr>
      <w:r>
        <w:rPr>
          <w:sz w:val="28"/>
          <w:szCs w:val="28"/>
        </w:rPr>
        <w:t xml:space="preserve">Figure 4.  Watersheds arising within and/or draining the Texas Hill Country.  </w:t>
      </w:r>
    </w:p>
    <w:p w14:paraId="0C19830A" w14:textId="641FFBAF" w:rsidR="003B4592" w:rsidRPr="001A1D93" w:rsidRDefault="003B4592" w:rsidP="00250F1B">
      <w:pPr>
        <w:rPr>
          <w:sz w:val="28"/>
          <w:szCs w:val="28"/>
        </w:rPr>
      </w:pPr>
      <w:r>
        <w:rPr>
          <w:sz w:val="28"/>
          <w:szCs w:val="28"/>
        </w:rPr>
        <w:lastRenderedPageBreak/>
        <w:tab/>
        <w:t>A third area of interest is the protection of habitat of endangered species.  There are many endangered species in the Texas Hill Country.  There are birds (Golden cheeked warblers</w:t>
      </w:r>
      <w:r w:rsidR="004E109D">
        <w:rPr>
          <w:sz w:val="28"/>
          <w:szCs w:val="28"/>
        </w:rPr>
        <w:t xml:space="preserve">, black-capped vireos), endangered mussels, salamanders and a beetle, to name several.  </w:t>
      </w:r>
      <w:r w:rsidR="0004277A">
        <w:rPr>
          <w:sz w:val="28"/>
          <w:szCs w:val="28"/>
        </w:rPr>
        <w:t xml:space="preserve">Each of these species can be found in certain areas.  Each of the geographic areas can be managed to protect these species.  </w:t>
      </w:r>
      <w:r w:rsidR="00DA0F7C">
        <w:rPr>
          <w:sz w:val="28"/>
          <w:szCs w:val="28"/>
        </w:rPr>
        <w:t xml:space="preserve">This may or may not be integrated with a Habitat Conservation Plan that might allow those potentially impacting the habitat and/or water to receive protection in the form of a Section 10 permit that would allow an incidental take of the species.  Such a plan is currently under development by the Guadalupe Blanco River Authority (GBRA).  There is much to be developed here, but the bottom line is that these ecological systems provide habitat for endangered species that has dollar value to certain interests, and such value can be mediated in an exchange. The </w:t>
      </w:r>
      <w:r w:rsidR="006E4B65">
        <w:rPr>
          <w:sz w:val="28"/>
          <w:szCs w:val="28"/>
        </w:rPr>
        <w:t xml:space="preserve">breeding area </w:t>
      </w:r>
      <w:r w:rsidR="00DA0F7C">
        <w:rPr>
          <w:sz w:val="28"/>
          <w:szCs w:val="28"/>
        </w:rPr>
        <w:t xml:space="preserve">for the Golden-cheeked warbler is shown in Figure 5.  The </w:t>
      </w:r>
      <w:r w:rsidR="009825CC">
        <w:rPr>
          <w:sz w:val="28"/>
          <w:szCs w:val="28"/>
        </w:rPr>
        <w:t xml:space="preserve">area where the </w:t>
      </w:r>
      <w:r w:rsidR="009D299F">
        <w:rPr>
          <w:sz w:val="28"/>
          <w:szCs w:val="28"/>
        </w:rPr>
        <w:t xml:space="preserve">Texas Fatmucket mussel is found is shown in Figure 6.  </w:t>
      </w:r>
    </w:p>
    <w:p w14:paraId="2DF0B7D5" w14:textId="0EC9842D" w:rsidR="00AE0CC9" w:rsidRDefault="006E4B65" w:rsidP="00250F1B">
      <w:pPr>
        <w:rPr>
          <w:sz w:val="28"/>
          <w:szCs w:val="28"/>
        </w:rPr>
      </w:pPr>
      <w:r>
        <w:rPr>
          <w:noProof/>
        </w:rPr>
        <w:drawing>
          <wp:inline distT="0" distB="0" distL="0" distR="0" wp14:anchorId="4BFCF644" wp14:editId="394B09F3">
            <wp:extent cx="3289300" cy="3169689"/>
            <wp:effectExtent l="0" t="0" r="6350" b="0"/>
            <wp:docPr id="3"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310052" cy="3189686"/>
                    </a:xfrm>
                    <a:prstGeom prst="rect">
                      <a:avLst/>
                    </a:prstGeom>
                  </pic:spPr>
                </pic:pic>
              </a:graphicData>
            </a:graphic>
          </wp:inline>
        </w:drawing>
      </w:r>
    </w:p>
    <w:p w14:paraId="63E05E1B" w14:textId="3A0749C2" w:rsidR="006E4B65" w:rsidRDefault="006E4B65" w:rsidP="00807BF0">
      <w:pPr>
        <w:outlineLvl w:val="0"/>
        <w:rPr>
          <w:sz w:val="28"/>
          <w:szCs w:val="28"/>
        </w:rPr>
      </w:pPr>
      <w:r>
        <w:rPr>
          <w:sz w:val="28"/>
          <w:szCs w:val="28"/>
        </w:rPr>
        <w:t>Figure 5.  Breeding area of golden-cheeked warbler</w:t>
      </w:r>
    </w:p>
    <w:p w14:paraId="1CC90B8B" w14:textId="572C108C" w:rsidR="009D299F" w:rsidRDefault="009D299F" w:rsidP="00250F1B">
      <w:pPr>
        <w:rPr>
          <w:sz w:val="28"/>
          <w:szCs w:val="28"/>
        </w:rPr>
      </w:pPr>
      <w:r>
        <w:rPr>
          <w:noProof/>
        </w:rPr>
        <w:lastRenderedPageBreak/>
        <w:drawing>
          <wp:inline distT="0" distB="0" distL="0" distR="0" wp14:anchorId="6ED44BC3" wp14:editId="7AF3E0E4">
            <wp:extent cx="4177675" cy="3700780"/>
            <wp:effectExtent l="0" t="0" r="0" b="0"/>
            <wp:docPr id="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14"/>
                    <a:srcRect l="11291" t="9755" r="4712"/>
                    <a:stretch/>
                  </pic:blipFill>
                  <pic:spPr bwMode="auto">
                    <a:xfrm>
                      <a:off x="0" y="0"/>
                      <a:ext cx="4182886" cy="3705396"/>
                    </a:xfrm>
                    <a:prstGeom prst="rect">
                      <a:avLst/>
                    </a:prstGeom>
                    <a:ln>
                      <a:noFill/>
                    </a:ln>
                    <a:extLst>
                      <a:ext uri="{53640926-AAD7-44D8-BBD7-CCE9431645EC}">
                        <a14:shadowObscured xmlns:a14="http://schemas.microsoft.com/office/drawing/2010/main"/>
                      </a:ext>
                    </a:extLst>
                  </pic:spPr>
                </pic:pic>
              </a:graphicData>
            </a:graphic>
          </wp:inline>
        </w:drawing>
      </w:r>
    </w:p>
    <w:p w14:paraId="5083B09C" w14:textId="79078722" w:rsidR="009D299F" w:rsidRDefault="009D299F" w:rsidP="00807BF0">
      <w:pPr>
        <w:outlineLvl w:val="0"/>
        <w:rPr>
          <w:sz w:val="28"/>
          <w:szCs w:val="28"/>
        </w:rPr>
      </w:pPr>
      <w:r>
        <w:rPr>
          <w:sz w:val="28"/>
          <w:szCs w:val="28"/>
        </w:rPr>
        <w:t xml:space="preserve">Figure 6.  Texas Fatmucket mussel use area.  </w:t>
      </w:r>
    </w:p>
    <w:p w14:paraId="30D80A61" w14:textId="6B12FBC9" w:rsidR="00994997" w:rsidRDefault="00994997" w:rsidP="00250F1B">
      <w:pPr>
        <w:rPr>
          <w:sz w:val="28"/>
          <w:szCs w:val="28"/>
        </w:rPr>
      </w:pPr>
    </w:p>
    <w:p w14:paraId="525231F9" w14:textId="3D4F5374" w:rsidR="00994997" w:rsidRDefault="000A7259" w:rsidP="00250F1B">
      <w:pPr>
        <w:rPr>
          <w:sz w:val="28"/>
          <w:szCs w:val="28"/>
        </w:rPr>
      </w:pPr>
      <w:r>
        <w:rPr>
          <w:sz w:val="28"/>
          <w:szCs w:val="28"/>
        </w:rPr>
        <w:tab/>
        <w:t xml:space="preserve">The bottom line is that there is great potential to establish an ecosystem exchange in the Texas Hill Country that can help us reach our conservation goals of protection of the land and water resources of the Texas Hill Country.  </w:t>
      </w:r>
      <w:r w:rsidR="00DD1ADC">
        <w:rPr>
          <w:sz w:val="28"/>
          <w:szCs w:val="28"/>
        </w:rPr>
        <w:t>In this regard, there are some key questions for those of you with interests in the Texas Hill Country.</w:t>
      </w:r>
    </w:p>
    <w:p w14:paraId="690B1B61" w14:textId="77777777" w:rsidR="006B7958" w:rsidRDefault="00DD1ADC" w:rsidP="00DD1ADC">
      <w:pPr>
        <w:pStyle w:val="ListParagraph"/>
        <w:numPr>
          <w:ilvl w:val="0"/>
          <w:numId w:val="1"/>
        </w:numPr>
        <w:rPr>
          <w:sz w:val="28"/>
          <w:szCs w:val="28"/>
        </w:rPr>
      </w:pPr>
      <w:r>
        <w:rPr>
          <w:sz w:val="28"/>
          <w:szCs w:val="28"/>
        </w:rPr>
        <w:t xml:space="preserve"> Are you </w:t>
      </w:r>
      <w:r w:rsidR="006B7958">
        <w:rPr>
          <w:sz w:val="28"/>
          <w:szCs w:val="28"/>
        </w:rPr>
        <w:t xml:space="preserve">and/or your group </w:t>
      </w:r>
      <w:r>
        <w:rPr>
          <w:sz w:val="28"/>
          <w:szCs w:val="28"/>
        </w:rPr>
        <w:t>interested</w:t>
      </w:r>
      <w:r w:rsidR="006B7958">
        <w:rPr>
          <w:sz w:val="28"/>
          <w:szCs w:val="28"/>
        </w:rPr>
        <w:t xml:space="preserve"> in seeing this Texas Hill Country Exchange established?</w:t>
      </w:r>
    </w:p>
    <w:p w14:paraId="0BB039AE" w14:textId="77777777" w:rsidR="006B7958" w:rsidRDefault="006B7958" w:rsidP="00DD1ADC">
      <w:pPr>
        <w:pStyle w:val="ListParagraph"/>
        <w:numPr>
          <w:ilvl w:val="0"/>
          <w:numId w:val="1"/>
        </w:numPr>
        <w:rPr>
          <w:sz w:val="28"/>
          <w:szCs w:val="28"/>
        </w:rPr>
      </w:pPr>
      <w:r>
        <w:rPr>
          <w:sz w:val="28"/>
          <w:szCs w:val="28"/>
        </w:rPr>
        <w:t xml:space="preserve">Are you and/or your group interested in being a part of a stakeholder group to help establish this process for the Texas Hill Country?  </w:t>
      </w:r>
    </w:p>
    <w:p w14:paraId="5E282FC4" w14:textId="77777777" w:rsidR="006B7958" w:rsidRDefault="006B7958" w:rsidP="00DD1ADC">
      <w:pPr>
        <w:pStyle w:val="ListParagraph"/>
        <w:numPr>
          <w:ilvl w:val="0"/>
          <w:numId w:val="1"/>
        </w:numPr>
        <w:rPr>
          <w:sz w:val="28"/>
          <w:szCs w:val="28"/>
        </w:rPr>
      </w:pPr>
      <w:r>
        <w:rPr>
          <w:sz w:val="28"/>
          <w:szCs w:val="28"/>
        </w:rPr>
        <w:t>Would you be willing to participate in a Zoom conversation to get this effort underway?</w:t>
      </w:r>
    </w:p>
    <w:p w14:paraId="27416DC5" w14:textId="68331A6E" w:rsidR="00DD1ADC" w:rsidRPr="00DD1ADC" w:rsidRDefault="006B7958" w:rsidP="00DD1ADC">
      <w:pPr>
        <w:pStyle w:val="ListParagraph"/>
        <w:numPr>
          <w:ilvl w:val="0"/>
          <w:numId w:val="1"/>
        </w:numPr>
        <w:rPr>
          <w:sz w:val="28"/>
          <w:szCs w:val="28"/>
        </w:rPr>
      </w:pPr>
      <w:r>
        <w:rPr>
          <w:sz w:val="28"/>
          <w:szCs w:val="28"/>
        </w:rPr>
        <w:t xml:space="preserve">Would you be willing to help us raise money to make this happen?  </w:t>
      </w:r>
      <w:r w:rsidR="00DD1ADC">
        <w:rPr>
          <w:sz w:val="28"/>
          <w:szCs w:val="28"/>
        </w:rPr>
        <w:t xml:space="preserve"> </w:t>
      </w:r>
    </w:p>
    <w:sectPr w:rsidR="00DD1ADC" w:rsidRPr="00DD1ADC">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250483" w14:textId="77777777" w:rsidR="001A15DF" w:rsidRDefault="001A15DF" w:rsidP="0017715B">
      <w:pPr>
        <w:spacing w:after="0" w:line="240" w:lineRule="auto"/>
      </w:pPr>
      <w:r>
        <w:separator/>
      </w:r>
    </w:p>
  </w:endnote>
  <w:endnote w:type="continuationSeparator" w:id="0">
    <w:p w14:paraId="26C23795" w14:textId="77777777" w:rsidR="001A15DF" w:rsidRDefault="001A15DF" w:rsidP="0017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5251088"/>
      <w:docPartObj>
        <w:docPartGallery w:val="Page Numbers (Bottom of Page)"/>
        <w:docPartUnique/>
      </w:docPartObj>
    </w:sdtPr>
    <w:sdtEndPr>
      <w:rPr>
        <w:noProof/>
      </w:rPr>
    </w:sdtEndPr>
    <w:sdtContent>
      <w:p w14:paraId="4454EB99" w14:textId="72EBD940" w:rsidR="0017715B" w:rsidRDefault="0017715B">
        <w:pPr>
          <w:pStyle w:val="Footer"/>
          <w:jc w:val="center"/>
        </w:pPr>
        <w:r>
          <w:fldChar w:fldCharType="begin"/>
        </w:r>
        <w:r>
          <w:instrText xml:space="preserve"> PAGE   \* MERGEFORMAT </w:instrText>
        </w:r>
        <w:r>
          <w:fldChar w:fldCharType="separate"/>
        </w:r>
        <w:r w:rsidR="00807BF0">
          <w:rPr>
            <w:noProof/>
          </w:rPr>
          <w:t>1</w:t>
        </w:r>
        <w:r>
          <w:rPr>
            <w:noProof/>
          </w:rPr>
          <w:fldChar w:fldCharType="end"/>
        </w:r>
      </w:p>
    </w:sdtContent>
  </w:sdt>
  <w:p w14:paraId="3D7DE5F2" w14:textId="77777777" w:rsidR="0017715B" w:rsidRDefault="00177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F9BC89" w14:textId="77777777" w:rsidR="001A15DF" w:rsidRDefault="001A15DF" w:rsidP="0017715B">
      <w:pPr>
        <w:spacing w:after="0" w:line="240" w:lineRule="auto"/>
      </w:pPr>
      <w:r>
        <w:separator/>
      </w:r>
    </w:p>
  </w:footnote>
  <w:footnote w:type="continuationSeparator" w:id="0">
    <w:p w14:paraId="6C43B11B" w14:textId="77777777" w:rsidR="001A15DF" w:rsidRDefault="001A15DF" w:rsidP="00177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0390256"/>
      <w:docPartObj>
        <w:docPartGallery w:val="Watermarks"/>
        <w:docPartUnique/>
      </w:docPartObj>
    </w:sdtPr>
    <w:sdtEndPr/>
    <w:sdtContent>
      <w:p w14:paraId="726F159C" w14:textId="5D4895FD" w:rsidR="0017715B" w:rsidRDefault="00A346B8">
        <w:pPr>
          <w:pStyle w:val="Header"/>
        </w:pPr>
        <w:r>
          <w:rPr>
            <w:noProof/>
          </w:rPr>
          <w:pict w14:anchorId="165620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294C34"/>
    <w:multiLevelType w:val="hybridMultilevel"/>
    <w:tmpl w:val="0FBE5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E2C"/>
    <w:rsid w:val="000260EC"/>
    <w:rsid w:val="0004277A"/>
    <w:rsid w:val="00085EF8"/>
    <w:rsid w:val="00085FF9"/>
    <w:rsid w:val="00096AFA"/>
    <w:rsid w:val="000A7259"/>
    <w:rsid w:val="0017715B"/>
    <w:rsid w:val="001A15DF"/>
    <w:rsid w:val="001A1D93"/>
    <w:rsid w:val="001A500D"/>
    <w:rsid w:val="001F3E2C"/>
    <w:rsid w:val="00210477"/>
    <w:rsid w:val="00250F1B"/>
    <w:rsid w:val="003B4592"/>
    <w:rsid w:val="004E109D"/>
    <w:rsid w:val="00511CED"/>
    <w:rsid w:val="00546BB3"/>
    <w:rsid w:val="00675506"/>
    <w:rsid w:val="006B7958"/>
    <w:rsid w:val="006E4B65"/>
    <w:rsid w:val="007145DA"/>
    <w:rsid w:val="007934C7"/>
    <w:rsid w:val="007F5AE1"/>
    <w:rsid w:val="00807BF0"/>
    <w:rsid w:val="008C67CE"/>
    <w:rsid w:val="009825CC"/>
    <w:rsid w:val="00994997"/>
    <w:rsid w:val="009A3910"/>
    <w:rsid w:val="009D299F"/>
    <w:rsid w:val="00A346B8"/>
    <w:rsid w:val="00A45DFC"/>
    <w:rsid w:val="00AE0CC9"/>
    <w:rsid w:val="00DA0F7C"/>
    <w:rsid w:val="00DB4A9E"/>
    <w:rsid w:val="00DD1ADC"/>
    <w:rsid w:val="00E547F5"/>
    <w:rsid w:val="00EB2197"/>
    <w:rsid w:val="00F3246A"/>
    <w:rsid w:val="00F37542"/>
    <w:rsid w:val="00FA7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EEEDC9"/>
  <w15:chartTrackingRefBased/>
  <w15:docId w15:val="{48D7FFA7-A939-4C20-A08F-62011AD9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3E2C"/>
    <w:rPr>
      <w:color w:val="0563C1" w:themeColor="hyperlink"/>
      <w:u w:val="single"/>
    </w:rPr>
  </w:style>
  <w:style w:type="character" w:customStyle="1" w:styleId="UnresolvedMention1">
    <w:name w:val="Unresolved Mention1"/>
    <w:basedOn w:val="DefaultParagraphFont"/>
    <w:uiPriority w:val="99"/>
    <w:semiHidden/>
    <w:unhideWhenUsed/>
    <w:rsid w:val="001F3E2C"/>
    <w:rPr>
      <w:color w:val="605E5C"/>
      <w:shd w:val="clear" w:color="auto" w:fill="E1DFDD"/>
    </w:rPr>
  </w:style>
  <w:style w:type="paragraph" w:styleId="ListParagraph">
    <w:name w:val="List Paragraph"/>
    <w:basedOn w:val="Normal"/>
    <w:uiPriority w:val="34"/>
    <w:qFormat/>
    <w:rsid w:val="00DD1ADC"/>
    <w:pPr>
      <w:ind w:left="720"/>
      <w:contextualSpacing/>
    </w:pPr>
  </w:style>
  <w:style w:type="paragraph" w:styleId="Header">
    <w:name w:val="header"/>
    <w:basedOn w:val="Normal"/>
    <w:link w:val="HeaderChar"/>
    <w:uiPriority w:val="99"/>
    <w:unhideWhenUsed/>
    <w:rsid w:val="00177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15B"/>
  </w:style>
  <w:style w:type="paragraph" w:styleId="Footer">
    <w:name w:val="footer"/>
    <w:basedOn w:val="Normal"/>
    <w:link w:val="FooterChar"/>
    <w:uiPriority w:val="99"/>
    <w:unhideWhenUsed/>
    <w:rsid w:val="00177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15B"/>
  </w:style>
  <w:style w:type="character" w:customStyle="1" w:styleId="apple-converted-space">
    <w:name w:val="apple-converted-space"/>
    <w:basedOn w:val="DefaultParagraphFont"/>
    <w:rsid w:val="00807BF0"/>
  </w:style>
  <w:style w:type="character" w:customStyle="1" w:styleId="apple-tab-span">
    <w:name w:val="apple-tab-span"/>
    <w:basedOn w:val="DefaultParagraphFont"/>
    <w:rsid w:val="00807BF0"/>
  </w:style>
  <w:style w:type="paragraph" w:styleId="BalloonText">
    <w:name w:val="Balloon Text"/>
    <w:basedOn w:val="Normal"/>
    <w:link w:val="BalloonTextChar"/>
    <w:uiPriority w:val="99"/>
    <w:semiHidden/>
    <w:unhideWhenUsed/>
    <w:rsid w:val="00807BF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07BF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7880622">
      <w:bodyDiv w:val="1"/>
      <w:marLeft w:val="0"/>
      <w:marRight w:val="0"/>
      <w:marTop w:val="0"/>
      <w:marBottom w:val="0"/>
      <w:divBdr>
        <w:top w:val="none" w:sz="0" w:space="0" w:color="auto"/>
        <w:left w:val="none" w:sz="0" w:space="0" w:color="auto"/>
        <w:bottom w:val="none" w:sz="0" w:space="0" w:color="auto"/>
        <w:right w:val="none" w:sz="0" w:space="0" w:color="auto"/>
      </w:divBdr>
      <w:divsChild>
        <w:div w:id="690179487">
          <w:marLeft w:val="0"/>
          <w:marRight w:val="0"/>
          <w:marTop w:val="0"/>
          <w:marBottom w:val="0"/>
          <w:divBdr>
            <w:top w:val="none" w:sz="0" w:space="0" w:color="auto"/>
            <w:left w:val="none" w:sz="0" w:space="0" w:color="auto"/>
            <w:bottom w:val="none" w:sz="0" w:space="0" w:color="auto"/>
            <w:right w:val="none" w:sz="0" w:space="0" w:color="auto"/>
          </w:divBdr>
        </w:div>
        <w:div w:id="1580286589">
          <w:marLeft w:val="0"/>
          <w:marRight w:val="0"/>
          <w:marTop w:val="0"/>
          <w:marBottom w:val="0"/>
          <w:divBdr>
            <w:top w:val="none" w:sz="0" w:space="0" w:color="auto"/>
            <w:left w:val="none" w:sz="0" w:space="0" w:color="auto"/>
            <w:bottom w:val="none" w:sz="0" w:space="0" w:color="auto"/>
            <w:right w:val="none" w:sz="0" w:space="0" w:color="auto"/>
          </w:divBdr>
        </w:div>
        <w:div w:id="1665890995">
          <w:marLeft w:val="0"/>
          <w:marRight w:val="0"/>
          <w:marTop w:val="0"/>
          <w:marBottom w:val="0"/>
          <w:divBdr>
            <w:top w:val="none" w:sz="0" w:space="0" w:color="auto"/>
            <w:left w:val="none" w:sz="0" w:space="0" w:color="auto"/>
            <w:bottom w:val="none" w:sz="0" w:space="0" w:color="auto"/>
            <w:right w:val="none" w:sz="0" w:space="0" w:color="auto"/>
          </w:divBdr>
        </w:div>
        <w:div w:id="1082600326">
          <w:marLeft w:val="0"/>
          <w:marRight w:val="0"/>
          <w:marTop w:val="0"/>
          <w:marBottom w:val="0"/>
          <w:divBdr>
            <w:top w:val="none" w:sz="0" w:space="0" w:color="auto"/>
            <w:left w:val="none" w:sz="0" w:space="0" w:color="auto"/>
            <w:bottom w:val="none" w:sz="0" w:space="0" w:color="auto"/>
            <w:right w:val="none" w:sz="0" w:space="0" w:color="auto"/>
          </w:divBdr>
        </w:div>
        <w:div w:id="1504127235">
          <w:marLeft w:val="0"/>
          <w:marRight w:val="0"/>
          <w:marTop w:val="0"/>
          <w:marBottom w:val="0"/>
          <w:divBdr>
            <w:top w:val="none" w:sz="0" w:space="0" w:color="auto"/>
            <w:left w:val="none" w:sz="0" w:space="0" w:color="auto"/>
            <w:bottom w:val="none" w:sz="0" w:space="0" w:color="auto"/>
            <w:right w:val="none" w:sz="0" w:space="0" w:color="auto"/>
          </w:divBdr>
        </w:div>
        <w:div w:id="1991052493">
          <w:marLeft w:val="0"/>
          <w:marRight w:val="0"/>
          <w:marTop w:val="0"/>
          <w:marBottom w:val="0"/>
          <w:divBdr>
            <w:top w:val="none" w:sz="0" w:space="0" w:color="auto"/>
            <w:left w:val="none" w:sz="0" w:space="0" w:color="auto"/>
            <w:bottom w:val="none" w:sz="0" w:space="0" w:color="auto"/>
            <w:right w:val="none" w:sz="0" w:space="0" w:color="auto"/>
          </w:divBdr>
        </w:div>
        <w:div w:id="290132036">
          <w:marLeft w:val="0"/>
          <w:marRight w:val="0"/>
          <w:marTop w:val="0"/>
          <w:marBottom w:val="0"/>
          <w:divBdr>
            <w:top w:val="none" w:sz="0" w:space="0" w:color="auto"/>
            <w:left w:val="none" w:sz="0" w:space="0" w:color="auto"/>
            <w:bottom w:val="none" w:sz="0" w:space="0" w:color="auto"/>
            <w:right w:val="none" w:sz="0" w:space="0" w:color="auto"/>
          </w:divBdr>
        </w:div>
        <w:div w:id="206376448">
          <w:marLeft w:val="0"/>
          <w:marRight w:val="0"/>
          <w:marTop w:val="0"/>
          <w:marBottom w:val="0"/>
          <w:divBdr>
            <w:top w:val="none" w:sz="0" w:space="0" w:color="auto"/>
            <w:left w:val="none" w:sz="0" w:space="0" w:color="auto"/>
            <w:bottom w:val="none" w:sz="0" w:space="0" w:color="auto"/>
            <w:right w:val="none" w:sz="0" w:space="0" w:color="auto"/>
          </w:divBdr>
        </w:div>
        <w:div w:id="704865578">
          <w:marLeft w:val="0"/>
          <w:marRight w:val="0"/>
          <w:marTop w:val="0"/>
          <w:marBottom w:val="0"/>
          <w:divBdr>
            <w:top w:val="none" w:sz="0" w:space="0" w:color="auto"/>
            <w:left w:val="none" w:sz="0" w:space="0" w:color="auto"/>
            <w:bottom w:val="none" w:sz="0" w:space="0" w:color="auto"/>
            <w:right w:val="none" w:sz="0" w:space="0" w:color="auto"/>
          </w:divBdr>
        </w:div>
        <w:div w:id="655260379">
          <w:marLeft w:val="0"/>
          <w:marRight w:val="0"/>
          <w:marTop w:val="0"/>
          <w:marBottom w:val="0"/>
          <w:divBdr>
            <w:top w:val="none" w:sz="0" w:space="0" w:color="auto"/>
            <w:left w:val="none" w:sz="0" w:space="0" w:color="auto"/>
            <w:bottom w:val="none" w:sz="0" w:space="0" w:color="auto"/>
            <w:right w:val="none" w:sz="0" w:space="0" w:color="auto"/>
          </w:divBdr>
        </w:div>
        <w:div w:id="1133206958">
          <w:marLeft w:val="0"/>
          <w:marRight w:val="0"/>
          <w:marTop w:val="0"/>
          <w:marBottom w:val="0"/>
          <w:divBdr>
            <w:top w:val="none" w:sz="0" w:space="0" w:color="auto"/>
            <w:left w:val="none" w:sz="0" w:space="0" w:color="auto"/>
            <w:bottom w:val="none" w:sz="0" w:space="0" w:color="auto"/>
            <w:right w:val="none" w:sz="0" w:space="0" w:color="auto"/>
          </w:divBdr>
        </w:div>
        <w:div w:id="265428941">
          <w:marLeft w:val="0"/>
          <w:marRight w:val="0"/>
          <w:marTop w:val="0"/>
          <w:marBottom w:val="0"/>
          <w:divBdr>
            <w:top w:val="none" w:sz="0" w:space="0" w:color="auto"/>
            <w:left w:val="none" w:sz="0" w:space="0" w:color="auto"/>
            <w:bottom w:val="none" w:sz="0" w:space="0" w:color="auto"/>
            <w:right w:val="none" w:sz="0" w:space="0" w:color="auto"/>
          </w:divBdr>
        </w:div>
        <w:div w:id="2048985432">
          <w:marLeft w:val="0"/>
          <w:marRight w:val="0"/>
          <w:marTop w:val="0"/>
          <w:marBottom w:val="0"/>
          <w:divBdr>
            <w:top w:val="none" w:sz="0" w:space="0" w:color="auto"/>
            <w:left w:val="none" w:sz="0" w:space="0" w:color="auto"/>
            <w:bottom w:val="none" w:sz="0" w:space="0" w:color="auto"/>
            <w:right w:val="none" w:sz="0" w:space="0" w:color="auto"/>
          </w:divBdr>
        </w:div>
        <w:div w:id="168715174">
          <w:marLeft w:val="0"/>
          <w:marRight w:val="0"/>
          <w:marTop w:val="0"/>
          <w:marBottom w:val="0"/>
          <w:divBdr>
            <w:top w:val="none" w:sz="0" w:space="0" w:color="auto"/>
            <w:left w:val="none" w:sz="0" w:space="0" w:color="auto"/>
            <w:bottom w:val="none" w:sz="0" w:space="0" w:color="auto"/>
            <w:right w:val="none" w:sz="0" w:space="0" w:color="auto"/>
          </w:divBdr>
        </w:div>
        <w:div w:id="1982730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xascoastalexchange.org/"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exascoastalexchange.org/" TargetMode="Externa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7</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Blackburn</dc:creator>
  <cp:keywords/>
  <dc:description/>
  <cp:lastModifiedBy>Jim Blackburn</cp:lastModifiedBy>
  <cp:revision>9</cp:revision>
  <dcterms:created xsi:type="dcterms:W3CDTF">2020-10-12T21:44:00Z</dcterms:created>
  <dcterms:modified xsi:type="dcterms:W3CDTF">2020-10-17T18:58:00Z</dcterms:modified>
</cp:coreProperties>
</file>